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564206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791813">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משה גפני</w:t>
      </w:r>
      <w:r>
        <w:br/>
      </w:r>
      <w:r>
        <w:rPr>
          <w:rFonts w:hint="cs"/>
          <w:b/>
          <w:bCs/>
          <w:rtl/>
        </w:rPr>
        <w:t xml:space="preserve"> </w:t>
      </w:r>
      <w:r>
        <w:tab/>
      </w:r>
      <w:r>
        <w:tab/>
      </w:r>
      <w:r>
        <w:tab/>
      </w:r>
      <w:r>
        <w:tab/>
      </w:r>
      <w:r>
        <w:rPr>
          <w:rFonts w:hint="cs"/>
          <w:b/>
          <w:bCs/>
          <w:rtl/>
        </w:rPr>
        <w:t xml:space="preserve">אורי </w:t>
      </w:r>
      <w:proofErr w:type="spellStart"/>
      <w:r>
        <w:rPr>
          <w:rFonts w:hint="cs"/>
          <w:b/>
          <w:bCs/>
          <w:rtl/>
        </w:rPr>
        <w:t>מקלב</w:t>
      </w:r>
      <w:bookmarkEnd w:id="3"/>
      <w:proofErr w:type="spellEnd"/>
    </w:p>
    <w:p w14:paraId="7F6961AA" w14:textId="77777777"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7F6961AB" w14:textId="1A02760E"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14="http://schemas.microsoft.com/office/drawing/2010/main" xmlns:a="http://schemas.openxmlformats.org/drawingml/2006/main">
            <w:pict>
              <v:polyline id="Freeform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9,27" o:spid="_x0000_s1026" filled="f" points=".1pt,5.1pt,305.55pt,3.75pt" w14:anchorId="21D28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פ/1370/20</w:t>
      </w:r>
      <w:bookmarkEnd w:id="6"/>
      <w:r w:rsidR="00E13C27" w:rsidRPr="00E06736">
        <w:rPr>
          <w:rFonts w:hint="cs"/>
          <w:rtl/>
        </w:rPr>
        <w:tab/>
      </w:r>
      <w:r w:rsidR="00E13C27" w:rsidRPr="00E06736">
        <w:rPr>
          <w:rFonts w:hint="cs"/>
          <w:rtl/>
        </w:rPr>
        <w:tab/>
      </w:r>
      <w:r w:rsidR="00E13C27" w:rsidRPr="00E06736">
        <w:rPr>
          <w:rFonts w:hint="cs"/>
          <w:rtl/>
        </w:rPr>
        <w:tab/>
      </w:r>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791813">
      <w:pPr>
        <w:pStyle w:val="HeadHatzaotHok"/>
        <w:rPr>
          <w:rtl/>
        </w:rPr>
      </w:pPr>
      <w:bookmarkStart w:id="7" w:name="LGS_Subject"/>
      <w:r>
        <w:rPr>
          <w:rFonts w:hint="cs"/>
          <w:rtl/>
        </w:rPr>
        <w:t xml:space="preserve">הצעת חוק שיפוט בתי דין דתיים (בוררות), </w:t>
      </w:r>
      <w:proofErr w:type="spellStart"/>
      <w:r>
        <w:rPr>
          <w:rFonts w:hint="cs"/>
          <w:rtl/>
        </w:rPr>
        <w:t>התשע"ה</w:t>
      </w:r>
      <w:proofErr w:type="spellEnd"/>
      <w:r>
        <w:rPr>
          <w:rFonts w:hint="cs"/>
          <w:rtl/>
        </w:rPr>
        <w:t>–2015</w:t>
      </w:r>
      <w:bookmarkEnd w:id="7"/>
    </w:p>
    <w:p w14:paraId="7F6961AE" w14:textId="77777777" w:rsidR="00E13C27" w:rsidRDefault="00E13C27" w:rsidP="0000131B">
      <w:pPr>
        <w:pStyle w:val="HeadDivreiHesber"/>
        <w:spacing w:before="0" w:after="0" w:line="240" w:lineRule="auto"/>
        <w:rPr>
          <w:rtl/>
        </w:rPr>
      </w:pPr>
    </w:p>
    <w:tbl>
      <w:tblPr>
        <w:bidiVisual/>
        <w:tblW w:w="9637"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519"/>
      </w:tblGrid>
      <w:tr w:rsidR="00874032" w14:paraId="424F432C" w14:textId="77777777" w:rsidTr="00EA3BA3">
        <w:trPr>
          <w:cantSplit/>
        </w:trPr>
        <w:tc>
          <w:tcPr>
            <w:tcW w:w="1870" w:type="dxa"/>
            <w:tcBorders>
              <w:top w:val="nil"/>
              <w:left w:val="nil"/>
              <w:bottom w:val="nil"/>
              <w:right w:val="nil"/>
            </w:tcBorders>
          </w:tcPr>
          <w:p w14:paraId="0E5759C2" w14:textId="77777777" w:rsidR="00874032" w:rsidRDefault="00874032" w:rsidP="00BA0A4B">
            <w:pPr>
              <w:pStyle w:val="TableSideHeading"/>
              <w:keepLines w:val="0"/>
            </w:pPr>
            <w:r>
              <w:rPr>
                <w:sz w:val="26"/>
                <w:rtl/>
              </w:rPr>
              <w:t>הגדרות</w:t>
            </w:r>
          </w:p>
        </w:tc>
        <w:tc>
          <w:tcPr>
            <w:tcW w:w="624" w:type="dxa"/>
            <w:tcBorders>
              <w:top w:val="nil"/>
              <w:left w:val="nil"/>
              <w:bottom w:val="nil"/>
              <w:right w:val="nil"/>
            </w:tcBorders>
          </w:tcPr>
          <w:p w14:paraId="481B1D33" w14:textId="77777777" w:rsidR="00874032" w:rsidRDefault="00874032" w:rsidP="00BA0A4B">
            <w:pPr>
              <w:pStyle w:val="TableText"/>
              <w:keepLines w:val="0"/>
            </w:pPr>
            <w:r>
              <w:rPr>
                <w:sz w:val="26"/>
                <w:rtl/>
              </w:rPr>
              <w:t>1.</w:t>
            </w:r>
          </w:p>
        </w:tc>
        <w:tc>
          <w:tcPr>
            <w:tcW w:w="7143" w:type="dxa"/>
            <w:gridSpan w:val="2"/>
            <w:tcBorders>
              <w:top w:val="nil"/>
              <w:left w:val="nil"/>
              <w:bottom w:val="nil"/>
              <w:right w:val="nil"/>
            </w:tcBorders>
          </w:tcPr>
          <w:p w14:paraId="533C106F" w14:textId="77777777" w:rsidR="00874032" w:rsidRDefault="00874032" w:rsidP="00EA3BA3">
            <w:pPr>
              <w:pStyle w:val="TableBlock"/>
            </w:pPr>
            <w:r>
              <w:rPr>
                <w:sz w:val="26"/>
                <w:rtl/>
              </w:rPr>
              <w:t xml:space="preserve">בחוק זה </w:t>
            </w:r>
            <w:r>
              <w:rPr>
                <w:rFonts w:hint="cs"/>
                <w:sz w:val="26"/>
                <w:rtl/>
              </w:rPr>
              <w:t>–</w:t>
            </w:r>
          </w:p>
        </w:tc>
      </w:tr>
      <w:tr w:rsidR="00874032" w14:paraId="19944E95" w14:textId="77777777" w:rsidTr="00EA3BA3">
        <w:trPr>
          <w:cantSplit/>
        </w:trPr>
        <w:tc>
          <w:tcPr>
            <w:tcW w:w="1870" w:type="dxa"/>
            <w:tcBorders>
              <w:top w:val="nil"/>
              <w:left w:val="nil"/>
              <w:bottom w:val="nil"/>
              <w:right w:val="nil"/>
            </w:tcBorders>
          </w:tcPr>
          <w:p w14:paraId="75D0C872" w14:textId="77777777" w:rsidR="00874032" w:rsidRDefault="00874032" w:rsidP="00BA0A4B">
            <w:pPr>
              <w:pStyle w:val="TableSideHeading"/>
              <w:keepLines w:val="0"/>
              <w:rPr>
                <w:sz w:val="26"/>
              </w:rPr>
            </w:pPr>
          </w:p>
        </w:tc>
        <w:tc>
          <w:tcPr>
            <w:tcW w:w="624" w:type="dxa"/>
            <w:tcBorders>
              <w:top w:val="nil"/>
              <w:left w:val="nil"/>
              <w:bottom w:val="nil"/>
              <w:right w:val="nil"/>
            </w:tcBorders>
          </w:tcPr>
          <w:p w14:paraId="65A6B8F8" w14:textId="77777777" w:rsidR="00874032" w:rsidRDefault="00874032" w:rsidP="00BA0A4B">
            <w:pPr>
              <w:pStyle w:val="TableText"/>
            </w:pPr>
          </w:p>
        </w:tc>
        <w:tc>
          <w:tcPr>
            <w:tcW w:w="7143" w:type="dxa"/>
            <w:gridSpan w:val="2"/>
            <w:tcBorders>
              <w:top w:val="nil"/>
              <w:left w:val="nil"/>
              <w:bottom w:val="nil"/>
              <w:right w:val="nil"/>
            </w:tcBorders>
          </w:tcPr>
          <w:p w14:paraId="4812F02A" w14:textId="77777777" w:rsidR="00874032" w:rsidRDefault="00874032" w:rsidP="00EA3BA3">
            <w:pPr>
              <w:pStyle w:val="TableBlock"/>
              <w:rPr>
                <w:sz w:val="26"/>
              </w:rPr>
            </w:pPr>
            <w:r>
              <w:rPr>
                <w:sz w:val="26"/>
                <w:rtl/>
              </w:rPr>
              <w:t>"בית דין" – בית דין רבני, בית דין שרעי ובית דין דתי דרוזי;</w:t>
            </w:r>
          </w:p>
        </w:tc>
      </w:tr>
      <w:tr w:rsidR="00874032" w14:paraId="77A1A614" w14:textId="77777777" w:rsidTr="00EA3BA3">
        <w:trPr>
          <w:cantSplit/>
        </w:trPr>
        <w:tc>
          <w:tcPr>
            <w:tcW w:w="1870" w:type="dxa"/>
            <w:tcBorders>
              <w:top w:val="nil"/>
              <w:left w:val="nil"/>
              <w:bottom w:val="nil"/>
              <w:right w:val="nil"/>
            </w:tcBorders>
          </w:tcPr>
          <w:p w14:paraId="69975D01" w14:textId="77777777" w:rsidR="00874032" w:rsidRDefault="00874032" w:rsidP="00BA0A4B">
            <w:pPr>
              <w:pStyle w:val="TableSideHeading"/>
              <w:keepLines w:val="0"/>
              <w:rPr>
                <w:sz w:val="26"/>
              </w:rPr>
            </w:pPr>
          </w:p>
        </w:tc>
        <w:tc>
          <w:tcPr>
            <w:tcW w:w="624" w:type="dxa"/>
            <w:tcBorders>
              <w:top w:val="nil"/>
              <w:left w:val="nil"/>
              <w:bottom w:val="nil"/>
              <w:right w:val="nil"/>
            </w:tcBorders>
          </w:tcPr>
          <w:p w14:paraId="6ED7D603" w14:textId="77777777" w:rsidR="00874032" w:rsidRDefault="00874032" w:rsidP="00BA0A4B">
            <w:pPr>
              <w:pStyle w:val="TableText"/>
            </w:pPr>
          </w:p>
        </w:tc>
        <w:tc>
          <w:tcPr>
            <w:tcW w:w="7143" w:type="dxa"/>
            <w:gridSpan w:val="2"/>
            <w:tcBorders>
              <w:top w:val="nil"/>
              <w:left w:val="nil"/>
              <w:bottom w:val="nil"/>
              <w:right w:val="nil"/>
            </w:tcBorders>
          </w:tcPr>
          <w:p w14:paraId="693A2B72" w14:textId="3158F85A" w:rsidR="00874032" w:rsidRPr="00E75FD2" w:rsidRDefault="00874032" w:rsidP="00EA3BA3">
            <w:pPr>
              <w:pStyle w:val="TableBlockOutdent"/>
            </w:pPr>
            <w:r w:rsidRPr="00E75FD2">
              <w:rPr>
                <w:rtl/>
              </w:rPr>
              <w:t xml:space="preserve">"חסוי" ו"פסול דין" – כמשמעותם בחוק הכשרות המשפטית והאפוטרופסות, </w:t>
            </w:r>
            <w:proofErr w:type="spellStart"/>
            <w:r w:rsidRPr="00E75FD2">
              <w:rPr>
                <w:rtl/>
              </w:rPr>
              <w:t>התשכ"ב</w:t>
            </w:r>
            <w:proofErr w:type="spellEnd"/>
            <w:r w:rsidRPr="00E75FD2">
              <w:rPr>
                <w:rtl/>
              </w:rPr>
              <w:t>–1962</w:t>
            </w:r>
            <w:r>
              <w:rPr>
                <w:rStyle w:val="a6"/>
                <w:rtl/>
              </w:rPr>
              <w:footnoteReference w:id="2"/>
            </w:r>
            <w:r w:rsidR="000D506A">
              <w:rPr>
                <w:rtl/>
              </w:rPr>
              <w:t xml:space="preserve"> </w:t>
            </w:r>
            <w:r w:rsidR="000D506A">
              <w:rPr>
                <w:rFonts w:hint="cs"/>
                <w:rtl/>
              </w:rPr>
              <w:t>;</w:t>
            </w:r>
          </w:p>
        </w:tc>
      </w:tr>
      <w:tr w:rsidR="00874032" w14:paraId="07E1201C" w14:textId="77777777" w:rsidTr="00EA3BA3">
        <w:trPr>
          <w:cantSplit/>
        </w:trPr>
        <w:tc>
          <w:tcPr>
            <w:tcW w:w="1870" w:type="dxa"/>
            <w:tcBorders>
              <w:top w:val="nil"/>
              <w:left w:val="nil"/>
              <w:bottom w:val="nil"/>
              <w:right w:val="nil"/>
            </w:tcBorders>
          </w:tcPr>
          <w:p w14:paraId="0F6D3C2A" w14:textId="77777777" w:rsidR="00874032" w:rsidRDefault="00874032" w:rsidP="00BA0A4B">
            <w:pPr>
              <w:pStyle w:val="TableSideHeading"/>
              <w:keepLines w:val="0"/>
              <w:rPr>
                <w:sz w:val="26"/>
              </w:rPr>
            </w:pPr>
          </w:p>
        </w:tc>
        <w:tc>
          <w:tcPr>
            <w:tcW w:w="624" w:type="dxa"/>
            <w:tcBorders>
              <w:top w:val="nil"/>
              <w:left w:val="nil"/>
              <w:bottom w:val="nil"/>
              <w:right w:val="nil"/>
            </w:tcBorders>
          </w:tcPr>
          <w:p w14:paraId="6CA9C423" w14:textId="77777777" w:rsidR="00874032" w:rsidRDefault="00874032" w:rsidP="00BA0A4B">
            <w:pPr>
              <w:pStyle w:val="TableText"/>
            </w:pPr>
          </w:p>
        </w:tc>
        <w:tc>
          <w:tcPr>
            <w:tcW w:w="7143" w:type="dxa"/>
            <w:gridSpan w:val="2"/>
            <w:tcBorders>
              <w:top w:val="nil"/>
              <w:left w:val="nil"/>
              <w:bottom w:val="nil"/>
              <w:right w:val="nil"/>
            </w:tcBorders>
          </w:tcPr>
          <w:p w14:paraId="47D66B59" w14:textId="77777777" w:rsidR="00874032" w:rsidRPr="00B478F4" w:rsidRDefault="00874032" w:rsidP="00EA3BA3">
            <w:pPr>
              <w:pStyle w:val="TableBlock"/>
            </w:pPr>
            <w:r>
              <w:rPr>
                <w:sz w:val="26"/>
                <w:rtl/>
              </w:rPr>
              <w:t>"עניין אזרחי" – עניין שאינו אחד מאלה:</w:t>
            </w:r>
          </w:p>
        </w:tc>
      </w:tr>
      <w:tr w:rsidR="00874032" w14:paraId="560A6198" w14:textId="77777777" w:rsidTr="00EA3BA3">
        <w:tblPrEx>
          <w:tblLook w:val="01E0" w:firstRow="1" w:lastRow="1" w:firstColumn="1" w:lastColumn="1" w:noHBand="0" w:noVBand="0"/>
        </w:tblPrEx>
        <w:trPr>
          <w:cantSplit/>
        </w:trPr>
        <w:tc>
          <w:tcPr>
            <w:tcW w:w="1870" w:type="dxa"/>
          </w:tcPr>
          <w:p w14:paraId="62997F6D" w14:textId="77777777" w:rsidR="00874032" w:rsidRDefault="00874032" w:rsidP="00BA0A4B">
            <w:pPr>
              <w:pStyle w:val="TableSideHeading"/>
            </w:pPr>
          </w:p>
        </w:tc>
        <w:tc>
          <w:tcPr>
            <w:tcW w:w="624" w:type="dxa"/>
          </w:tcPr>
          <w:p w14:paraId="35BA6DB6" w14:textId="77777777" w:rsidR="00874032" w:rsidRDefault="00874032" w:rsidP="00BA0A4B">
            <w:pPr>
              <w:pStyle w:val="TableText"/>
            </w:pPr>
          </w:p>
        </w:tc>
        <w:tc>
          <w:tcPr>
            <w:tcW w:w="624" w:type="dxa"/>
          </w:tcPr>
          <w:p w14:paraId="4C0FB549" w14:textId="77777777" w:rsidR="00874032" w:rsidRDefault="00874032" w:rsidP="00BA0A4B">
            <w:pPr>
              <w:pStyle w:val="TableText"/>
            </w:pPr>
          </w:p>
        </w:tc>
        <w:tc>
          <w:tcPr>
            <w:tcW w:w="6519" w:type="dxa"/>
          </w:tcPr>
          <w:p w14:paraId="11AA8704" w14:textId="77777777" w:rsidR="00874032" w:rsidRDefault="00874032" w:rsidP="00EA3BA3">
            <w:pPr>
              <w:pStyle w:val="TableBlock"/>
            </w:pPr>
            <w:r>
              <w:rPr>
                <w:sz w:val="26"/>
                <w:rtl/>
              </w:rPr>
              <w:t>(1)</w:t>
            </w:r>
            <w:r>
              <w:rPr>
                <w:sz w:val="26"/>
                <w:rtl/>
              </w:rPr>
              <w:tab/>
              <w:t>עניין פלילי;</w:t>
            </w:r>
          </w:p>
        </w:tc>
      </w:tr>
      <w:tr w:rsidR="00874032" w14:paraId="4ACDDB45" w14:textId="77777777" w:rsidTr="00EA3BA3">
        <w:tblPrEx>
          <w:tblLook w:val="01E0" w:firstRow="1" w:lastRow="1" w:firstColumn="1" w:lastColumn="1" w:noHBand="0" w:noVBand="0"/>
        </w:tblPrEx>
        <w:trPr>
          <w:cantSplit/>
        </w:trPr>
        <w:tc>
          <w:tcPr>
            <w:tcW w:w="1870" w:type="dxa"/>
          </w:tcPr>
          <w:p w14:paraId="674EE673" w14:textId="77777777" w:rsidR="00874032" w:rsidRDefault="00874032" w:rsidP="00BA0A4B">
            <w:pPr>
              <w:pStyle w:val="TableSideHeading"/>
            </w:pPr>
          </w:p>
        </w:tc>
        <w:tc>
          <w:tcPr>
            <w:tcW w:w="624" w:type="dxa"/>
          </w:tcPr>
          <w:p w14:paraId="58EBA8A3" w14:textId="77777777" w:rsidR="00874032" w:rsidRDefault="00874032" w:rsidP="00BA0A4B">
            <w:pPr>
              <w:pStyle w:val="TableText"/>
            </w:pPr>
          </w:p>
        </w:tc>
        <w:tc>
          <w:tcPr>
            <w:tcW w:w="624" w:type="dxa"/>
          </w:tcPr>
          <w:p w14:paraId="63B14D67" w14:textId="77777777" w:rsidR="00874032" w:rsidRDefault="00874032" w:rsidP="00BA0A4B">
            <w:pPr>
              <w:pStyle w:val="TableText"/>
            </w:pPr>
          </w:p>
        </w:tc>
        <w:tc>
          <w:tcPr>
            <w:tcW w:w="6519" w:type="dxa"/>
          </w:tcPr>
          <w:p w14:paraId="23F3609B" w14:textId="03C1782A" w:rsidR="00874032" w:rsidRDefault="00874032" w:rsidP="00EA3BA3">
            <w:pPr>
              <w:pStyle w:val="TableBlock"/>
            </w:pPr>
            <w:r>
              <w:rPr>
                <w:sz w:val="26"/>
                <w:rtl/>
              </w:rPr>
              <w:t>(2)</w:t>
            </w:r>
            <w:r>
              <w:rPr>
                <w:sz w:val="26"/>
                <w:rtl/>
              </w:rPr>
              <w:tab/>
              <w:t xml:space="preserve">עניין </w:t>
            </w:r>
            <w:proofErr w:type="spellStart"/>
            <w:r>
              <w:rPr>
                <w:sz w:val="26"/>
                <w:rtl/>
              </w:rPr>
              <w:t>מ</w:t>
            </w:r>
            <w:r>
              <w:rPr>
                <w:rFonts w:hint="cs"/>
                <w:sz w:val="26"/>
                <w:rtl/>
              </w:rPr>
              <w:t>י</w:t>
            </w:r>
            <w:r>
              <w:rPr>
                <w:sz w:val="26"/>
                <w:rtl/>
              </w:rPr>
              <w:t>נהלי</w:t>
            </w:r>
            <w:proofErr w:type="spellEnd"/>
            <w:r>
              <w:rPr>
                <w:sz w:val="26"/>
                <w:rtl/>
              </w:rPr>
              <w:t xml:space="preserve">, כהגדרתו בחוק בתי משפט לעניינים </w:t>
            </w:r>
            <w:proofErr w:type="spellStart"/>
            <w:r>
              <w:rPr>
                <w:sz w:val="26"/>
                <w:rtl/>
              </w:rPr>
              <w:t>מינהלי</w:t>
            </w:r>
            <w:r>
              <w:rPr>
                <w:rFonts w:hint="cs"/>
                <w:sz w:val="26"/>
                <w:rtl/>
              </w:rPr>
              <w:t>י</w:t>
            </w:r>
            <w:r>
              <w:rPr>
                <w:sz w:val="26"/>
                <w:rtl/>
              </w:rPr>
              <w:t>ם</w:t>
            </w:r>
            <w:proofErr w:type="spellEnd"/>
            <w:r w:rsidR="00791813">
              <w:rPr>
                <w:rFonts w:hint="cs"/>
                <w:sz w:val="26"/>
                <w:rtl/>
              </w:rPr>
              <w:t>,</w:t>
            </w:r>
            <w:r>
              <w:rPr>
                <w:sz w:val="26"/>
                <w:rtl/>
              </w:rPr>
              <w:t xml:space="preserve"> </w:t>
            </w:r>
            <w:proofErr w:type="spellStart"/>
            <w:r>
              <w:rPr>
                <w:sz w:val="26"/>
                <w:rtl/>
              </w:rPr>
              <w:t>התש"ס</w:t>
            </w:r>
            <w:proofErr w:type="spellEnd"/>
            <w:r>
              <w:rPr>
                <w:sz w:val="26"/>
                <w:rtl/>
              </w:rPr>
              <w:t>–2000</w:t>
            </w:r>
            <w:r>
              <w:rPr>
                <w:sz w:val="26"/>
                <w:vertAlign w:val="superscript"/>
                <w:rtl/>
              </w:rPr>
              <w:footnoteReference w:id="3"/>
            </w:r>
            <w:r>
              <w:rPr>
                <w:sz w:val="26"/>
                <w:rtl/>
              </w:rPr>
              <w:t>;</w:t>
            </w:r>
          </w:p>
        </w:tc>
      </w:tr>
      <w:tr w:rsidR="00874032" w14:paraId="10883641" w14:textId="77777777" w:rsidTr="00EA3BA3">
        <w:tblPrEx>
          <w:tblLook w:val="01E0" w:firstRow="1" w:lastRow="1" w:firstColumn="1" w:lastColumn="1" w:noHBand="0" w:noVBand="0"/>
        </w:tblPrEx>
        <w:trPr>
          <w:cantSplit/>
        </w:trPr>
        <w:tc>
          <w:tcPr>
            <w:tcW w:w="1870" w:type="dxa"/>
          </w:tcPr>
          <w:p w14:paraId="5661D269" w14:textId="77777777" w:rsidR="00874032" w:rsidRDefault="00874032" w:rsidP="00BA0A4B">
            <w:pPr>
              <w:pStyle w:val="TableSideHeading"/>
            </w:pPr>
          </w:p>
        </w:tc>
        <w:tc>
          <w:tcPr>
            <w:tcW w:w="624" w:type="dxa"/>
          </w:tcPr>
          <w:p w14:paraId="01D1F904" w14:textId="77777777" w:rsidR="00874032" w:rsidRDefault="00874032" w:rsidP="00BA0A4B">
            <w:pPr>
              <w:pStyle w:val="TableText"/>
            </w:pPr>
          </w:p>
        </w:tc>
        <w:tc>
          <w:tcPr>
            <w:tcW w:w="624" w:type="dxa"/>
          </w:tcPr>
          <w:p w14:paraId="6F4AAD05" w14:textId="77777777" w:rsidR="00874032" w:rsidRDefault="00874032" w:rsidP="00BA0A4B">
            <w:pPr>
              <w:pStyle w:val="TableText"/>
            </w:pPr>
          </w:p>
        </w:tc>
        <w:tc>
          <w:tcPr>
            <w:tcW w:w="6519" w:type="dxa"/>
          </w:tcPr>
          <w:p w14:paraId="1EDC9D38" w14:textId="23831278" w:rsidR="00874032" w:rsidRDefault="00874032" w:rsidP="00EA3BA3">
            <w:pPr>
              <w:pStyle w:val="TableBlock"/>
            </w:pPr>
            <w:r>
              <w:rPr>
                <w:sz w:val="26"/>
                <w:rtl/>
              </w:rPr>
              <w:t>(3)</w:t>
            </w:r>
            <w:r>
              <w:rPr>
                <w:sz w:val="26"/>
                <w:rtl/>
              </w:rPr>
              <w:tab/>
              <w:t>עניין שבסמכות שיפוט של בית דין לפי חוק, לרבות עניין שניתן להסכים לגביו כי יהיה בסמכות שיפוטו של בית דין</w:t>
            </w:r>
            <w:r w:rsidR="000D506A">
              <w:rPr>
                <w:rFonts w:hint="cs"/>
                <w:rtl/>
              </w:rPr>
              <w:t>;</w:t>
            </w:r>
          </w:p>
        </w:tc>
      </w:tr>
      <w:tr w:rsidR="00874032" w14:paraId="7F9C33AC" w14:textId="77777777" w:rsidTr="00EA3BA3">
        <w:trPr>
          <w:cantSplit/>
        </w:trPr>
        <w:tc>
          <w:tcPr>
            <w:tcW w:w="1870" w:type="dxa"/>
            <w:tcBorders>
              <w:top w:val="nil"/>
              <w:left w:val="nil"/>
              <w:bottom w:val="nil"/>
              <w:right w:val="nil"/>
            </w:tcBorders>
          </w:tcPr>
          <w:p w14:paraId="549604F9" w14:textId="77777777" w:rsidR="00874032" w:rsidRDefault="00874032" w:rsidP="00BA0A4B">
            <w:pPr>
              <w:pStyle w:val="TableSideHeading"/>
              <w:keepLines w:val="0"/>
              <w:rPr>
                <w:sz w:val="26"/>
              </w:rPr>
            </w:pPr>
          </w:p>
        </w:tc>
        <w:tc>
          <w:tcPr>
            <w:tcW w:w="624" w:type="dxa"/>
            <w:tcBorders>
              <w:top w:val="nil"/>
              <w:left w:val="nil"/>
              <w:bottom w:val="nil"/>
              <w:right w:val="nil"/>
            </w:tcBorders>
          </w:tcPr>
          <w:p w14:paraId="1A49A87D" w14:textId="77777777" w:rsidR="00874032" w:rsidRDefault="00874032" w:rsidP="00BA0A4B">
            <w:pPr>
              <w:pStyle w:val="TableText"/>
            </w:pPr>
          </w:p>
        </w:tc>
        <w:tc>
          <w:tcPr>
            <w:tcW w:w="7143" w:type="dxa"/>
            <w:gridSpan w:val="2"/>
            <w:tcBorders>
              <w:top w:val="nil"/>
              <w:left w:val="nil"/>
              <w:bottom w:val="nil"/>
              <w:right w:val="nil"/>
            </w:tcBorders>
          </w:tcPr>
          <w:p w14:paraId="16D189B2" w14:textId="77777777" w:rsidR="00874032" w:rsidRDefault="00874032" w:rsidP="00EA3BA3">
            <w:pPr>
              <w:pStyle w:val="TableBlockOutdent"/>
            </w:pPr>
            <w:r>
              <w:rPr>
                <w:sz w:val="26"/>
                <w:rtl/>
              </w:rPr>
              <w:t>"שליטה" – כהגדרתה בחוק ניירות ערך</w:t>
            </w:r>
            <w:r>
              <w:rPr>
                <w:rFonts w:hint="cs"/>
                <w:sz w:val="26"/>
                <w:rtl/>
              </w:rPr>
              <w:t>,</w:t>
            </w:r>
            <w:r>
              <w:rPr>
                <w:sz w:val="26"/>
                <w:rtl/>
              </w:rPr>
              <w:t xml:space="preserve"> </w:t>
            </w:r>
            <w:proofErr w:type="spellStart"/>
            <w:r>
              <w:rPr>
                <w:sz w:val="26"/>
                <w:rtl/>
              </w:rPr>
              <w:t>התשכ"ח</w:t>
            </w:r>
            <w:proofErr w:type="spellEnd"/>
            <w:r>
              <w:rPr>
                <w:sz w:val="26"/>
                <w:rtl/>
              </w:rPr>
              <w:t>–1968</w:t>
            </w:r>
            <w:r>
              <w:rPr>
                <w:sz w:val="26"/>
                <w:vertAlign w:val="superscript"/>
                <w:rtl/>
              </w:rPr>
              <w:footnoteReference w:id="4"/>
            </w:r>
            <w:r>
              <w:rPr>
                <w:sz w:val="26"/>
                <w:rtl/>
              </w:rPr>
              <w:t>.</w:t>
            </w:r>
          </w:p>
        </w:tc>
      </w:tr>
      <w:tr w:rsidR="00874032" w14:paraId="3E2352AD" w14:textId="77777777" w:rsidTr="00EA3BA3">
        <w:trPr>
          <w:cantSplit/>
        </w:trPr>
        <w:tc>
          <w:tcPr>
            <w:tcW w:w="1870" w:type="dxa"/>
            <w:tcBorders>
              <w:top w:val="nil"/>
              <w:left w:val="nil"/>
              <w:bottom w:val="nil"/>
              <w:right w:val="nil"/>
            </w:tcBorders>
          </w:tcPr>
          <w:p w14:paraId="26774EAA" w14:textId="77777777" w:rsidR="00874032" w:rsidRPr="00B478F4" w:rsidRDefault="00874032" w:rsidP="00BA0A4B">
            <w:pPr>
              <w:pStyle w:val="TableSideHeading"/>
              <w:keepLines w:val="0"/>
              <w:rPr>
                <w:sz w:val="26"/>
              </w:rPr>
            </w:pPr>
            <w:r>
              <w:rPr>
                <w:sz w:val="26"/>
                <w:rtl/>
              </w:rPr>
              <w:t>בוררות בהסכמה</w:t>
            </w:r>
          </w:p>
        </w:tc>
        <w:tc>
          <w:tcPr>
            <w:tcW w:w="624" w:type="dxa"/>
            <w:tcBorders>
              <w:top w:val="nil"/>
              <w:left w:val="nil"/>
              <w:bottom w:val="nil"/>
              <w:right w:val="nil"/>
            </w:tcBorders>
          </w:tcPr>
          <w:p w14:paraId="4A1188EE" w14:textId="77777777" w:rsidR="00874032" w:rsidRDefault="00874032" w:rsidP="00BA0A4B">
            <w:pPr>
              <w:pStyle w:val="TableText"/>
            </w:pPr>
            <w:r>
              <w:rPr>
                <w:rtl/>
              </w:rPr>
              <w:t>2.</w:t>
            </w:r>
          </w:p>
        </w:tc>
        <w:tc>
          <w:tcPr>
            <w:tcW w:w="7143" w:type="dxa"/>
            <w:gridSpan w:val="2"/>
            <w:tcBorders>
              <w:top w:val="nil"/>
              <w:left w:val="nil"/>
              <w:bottom w:val="nil"/>
              <w:right w:val="nil"/>
            </w:tcBorders>
          </w:tcPr>
          <w:p w14:paraId="1DBEDCA4" w14:textId="4470FBB6" w:rsidR="00874032" w:rsidRDefault="00874032" w:rsidP="00EA3BA3">
            <w:pPr>
              <w:pStyle w:val="TableBlock"/>
            </w:pPr>
            <w:r>
              <w:rPr>
                <w:sz w:val="26"/>
                <w:rtl/>
              </w:rPr>
              <w:t xml:space="preserve">בית דין רשאי לדון כבורר בעניין אזרחי היכול לשמש </w:t>
            </w:r>
            <w:r w:rsidR="00EA3BA3">
              <w:rPr>
                <w:sz w:val="26"/>
                <w:rtl/>
              </w:rPr>
              <w:t>נושא להסכם ובלבד שמתקיימים שני</w:t>
            </w:r>
            <w:r>
              <w:rPr>
                <w:sz w:val="26"/>
                <w:rtl/>
              </w:rPr>
              <w:t xml:space="preserve"> אלה:</w:t>
            </w:r>
          </w:p>
        </w:tc>
      </w:tr>
      <w:tr w:rsidR="00874032" w14:paraId="2A8184B7" w14:textId="77777777" w:rsidTr="00EA3BA3">
        <w:trPr>
          <w:cantSplit/>
        </w:trPr>
        <w:tc>
          <w:tcPr>
            <w:tcW w:w="1870" w:type="dxa"/>
            <w:tcBorders>
              <w:top w:val="nil"/>
              <w:left w:val="nil"/>
              <w:bottom w:val="nil"/>
              <w:right w:val="nil"/>
            </w:tcBorders>
          </w:tcPr>
          <w:p w14:paraId="6C277B2E" w14:textId="77777777" w:rsidR="00874032" w:rsidRDefault="00874032" w:rsidP="00BA0A4B">
            <w:pPr>
              <w:pStyle w:val="TableSideHeading"/>
            </w:pPr>
          </w:p>
        </w:tc>
        <w:tc>
          <w:tcPr>
            <w:tcW w:w="624" w:type="dxa"/>
            <w:tcBorders>
              <w:top w:val="nil"/>
              <w:left w:val="nil"/>
              <w:bottom w:val="nil"/>
              <w:right w:val="nil"/>
            </w:tcBorders>
          </w:tcPr>
          <w:p w14:paraId="41AD86BA" w14:textId="77777777" w:rsidR="00874032" w:rsidRDefault="00874032" w:rsidP="00BA0A4B">
            <w:pPr>
              <w:pStyle w:val="TableText"/>
            </w:pPr>
          </w:p>
        </w:tc>
        <w:tc>
          <w:tcPr>
            <w:tcW w:w="7143" w:type="dxa"/>
            <w:gridSpan w:val="2"/>
            <w:tcBorders>
              <w:top w:val="nil"/>
              <w:left w:val="nil"/>
              <w:bottom w:val="nil"/>
              <w:right w:val="nil"/>
            </w:tcBorders>
          </w:tcPr>
          <w:p w14:paraId="39166084" w14:textId="77777777" w:rsidR="00874032" w:rsidRDefault="00874032" w:rsidP="00EA3BA3">
            <w:pPr>
              <w:pStyle w:val="TableBlock"/>
            </w:pPr>
            <w:r>
              <w:rPr>
                <w:sz w:val="26"/>
                <w:rtl/>
              </w:rPr>
              <w:t>(1)</w:t>
            </w:r>
            <w:r>
              <w:rPr>
                <w:sz w:val="26"/>
                <w:rtl/>
              </w:rPr>
              <w:tab/>
              <w:t>כל הצדדים הנוגעים בדבר הביעו בכתב את הסכמתם לכך;</w:t>
            </w:r>
          </w:p>
        </w:tc>
      </w:tr>
      <w:tr w:rsidR="00874032" w14:paraId="18A8C1E6" w14:textId="77777777" w:rsidTr="00EA3BA3">
        <w:trPr>
          <w:cantSplit/>
        </w:trPr>
        <w:tc>
          <w:tcPr>
            <w:tcW w:w="1870" w:type="dxa"/>
            <w:tcBorders>
              <w:top w:val="nil"/>
              <w:left w:val="nil"/>
              <w:bottom w:val="nil"/>
              <w:right w:val="nil"/>
            </w:tcBorders>
          </w:tcPr>
          <w:p w14:paraId="45CD3560" w14:textId="77777777" w:rsidR="00874032" w:rsidRDefault="00874032" w:rsidP="00BA0A4B">
            <w:pPr>
              <w:pStyle w:val="TableSideHeading"/>
            </w:pPr>
          </w:p>
        </w:tc>
        <w:tc>
          <w:tcPr>
            <w:tcW w:w="624" w:type="dxa"/>
            <w:tcBorders>
              <w:top w:val="nil"/>
              <w:left w:val="nil"/>
              <w:bottom w:val="nil"/>
              <w:right w:val="nil"/>
            </w:tcBorders>
          </w:tcPr>
          <w:p w14:paraId="6C8575FE" w14:textId="77777777" w:rsidR="00874032" w:rsidRDefault="00874032" w:rsidP="00BA0A4B">
            <w:pPr>
              <w:pStyle w:val="TableText"/>
            </w:pPr>
          </w:p>
        </w:tc>
        <w:tc>
          <w:tcPr>
            <w:tcW w:w="7143" w:type="dxa"/>
            <w:gridSpan w:val="2"/>
            <w:tcBorders>
              <w:top w:val="nil"/>
              <w:left w:val="nil"/>
              <w:bottom w:val="nil"/>
              <w:right w:val="nil"/>
            </w:tcBorders>
          </w:tcPr>
          <w:p w14:paraId="570C9479" w14:textId="77777777" w:rsidR="00874032" w:rsidRDefault="00874032" w:rsidP="00EA3BA3">
            <w:pPr>
              <w:pStyle w:val="TableBlock"/>
            </w:pPr>
            <w:r>
              <w:rPr>
                <w:sz w:val="26"/>
                <w:rtl/>
              </w:rPr>
              <w:t>(2)</w:t>
            </w:r>
            <w:r>
              <w:rPr>
                <w:sz w:val="26"/>
                <w:rtl/>
              </w:rPr>
              <w:tab/>
              <w:t>אחד הצדדים הנוגעים בדבר לפחות הוא בן דתו של בית הדין; היה אחד הצדדים תאגיד – די בכך שבעל שליטה בו הוא בן דתו של בית הדין.</w:t>
            </w:r>
          </w:p>
        </w:tc>
      </w:tr>
      <w:tr w:rsidR="00874032" w14:paraId="605B8693" w14:textId="77777777" w:rsidTr="00EA3BA3">
        <w:tblPrEx>
          <w:tblLook w:val="01E0" w:firstRow="1" w:lastRow="1" w:firstColumn="1" w:lastColumn="1" w:noHBand="0" w:noVBand="0"/>
        </w:tblPrEx>
        <w:trPr>
          <w:cantSplit/>
        </w:trPr>
        <w:tc>
          <w:tcPr>
            <w:tcW w:w="1870" w:type="dxa"/>
          </w:tcPr>
          <w:p w14:paraId="1D23432A" w14:textId="77777777" w:rsidR="00874032" w:rsidRDefault="00874032" w:rsidP="00BA0A4B">
            <w:pPr>
              <w:pStyle w:val="TableSideHeading"/>
            </w:pPr>
            <w:r>
              <w:rPr>
                <w:rtl/>
              </w:rPr>
              <w:t xml:space="preserve">הפניה אל בית הדין </w:t>
            </w:r>
          </w:p>
        </w:tc>
        <w:tc>
          <w:tcPr>
            <w:tcW w:w="624" w:type="dxa"/>
          </w:tcPr>
          <w:p w14:paraId="6CD454FB" w14:textId="77777777" w:rsidR="00874032" w:rsidRDefault="00874032" w:rsidP="00BA0A4B">
            <w:pPr>
              <w:pStyle w:val="TableText"/>
            </w:pPr>
            <w:r>
              <w:rPr>
                <w:rtl/>
              </w:rPr>
              <w:t>3.</w:t>
            </w:r>
          </w:p>
        </w:tc>
        <w:tc>
          <w:tcPr>
            <w:tcW w:w="7143" w:type="dxa"/>
            <w:gridSpan w:val="2"/>
          </w:tcPr>
          <w:p w14:paraId="28CD2044" w14:textId="77777777" w:rsidR="00874032" w:rsidRDefault="00874032" w:rsidP="00EA3BA3">
            <w:pPr>
              <w:pStyle w:val="TableBlock"/>
            </w:pPr>
            <w:r>
              <w:rPr>
                <w:sz w:val="26"/>
                <w:rtl/>
              </w:rPr>
              <w:t>(א)</w:t>
            </w:r>
            <w:r>
              <w:rPr>
                <w:sz w:val="26"/>
                <w:rtl/>
              </w:rPr>
              <w:tab/>
              <w:t>פניה לבית דין לדון כבורר בעניין אזרחי, תוגש בצירוף הסכמתם בכתב של הצדדים הנוגעים בדבר.</w:t>
            </w:r>
          </w:p>
        </w:tc>
      </w:tr>
      <w:tr w:rsidR="00874032" w14:paraId="5E14A60F" w14:textId="77777777" w:rsidTr="00EA3BA3">
        <w:tblPrEx>
          <w:tblLook w:val="01E0" w:firstRow="1" w:lastRow="1" w:firstColumn="1" w:lastColumn="1" w:noHBand="0" w:noVBand="0"/>
        </w:tblPrEx>
        <w:trPr>
          <w:cantSplit/>
        </w:trPr>
        <w:tc>
          <w:tcPr>
            <w:tcW w:w="1870" w:type="dxa"/>
          </w:tcPr>
          <w:p w14:paraId="3246A63F" w14:textId="77777777" w:rsidR="00874032" w:rsidRDefault="00874032" w:rsidP="00BA0A4B">
            <w:pPr>
              <w:pStyle w:val="TableSideHeading"/>
            </w:pPr>
          </w:p>
        </w:tc>
        <w:tc>
          <w:tcPr>
            <w:tcW w:w="624" w:type="dxa"/>
          </w:tcPr>
          <w:p w14:paraId="5B64877E" w14:textId="77777777" w:rsidR="00874032" w:rsidRDefault="00874032" w:rsidP="00BA0A4B">
            <w:pPr>
              <w:pStyle w:val="TableText"/>
            </w:pPr>
          </w:p>
        </w:tc>
        <w:tc>
          <w:tcPr>
            <w:tcW w:w="7143" w:type="dxa"/>
            <w:gridSpan w:val="2"/>
          </w:tcPr>
          <w:p w14:paraId="3AAEC6FD" w14:textId="77777777" w:rsidR="00874032" w:rsidRDefault="00874032" w:rsidP="00EA3BA3">
            <w:pPr>
              <w:pStyle w:val="TableBlock"/>
            </w:pPr>
            <w:r>
              <w:rPr>
                <w:sz w:val="26"/>
                <w:rtl/>
              </w:rPr>
              <w:t>(ב)</w:t>
            </w:r>
            <w:r>
              <w:rPr>
                <w:sz w:val="26"/>
                <w:rtl/>
              </w:rPr>
              <w:tab/>
              <w:t>לא צורפה הסכמתו של צד הנוגע בדבר, יודיע בית הדין לאותו צד, על אפשרותו להסכים לכך שבית הדין ידון בעניין כבורר.</w:t>
            </w:r>
          </w:p>
        </w:tc>
      </w:tr>
      <w:tr w:rsidR="00874032" w14:paraId="50BA6EE2" w14:textId="77777777" w:rsidTr="00EA3BA3">
        <w:tblPrEx>
          <w:tblLook w:val="01E0" w:firstRow="1" w:lastRow="1" w:firstColumn="1" w:lastColumn="1" w:noHBand="0" w:noVBand="0"/>
        </w:tblPrEx>
        <w:trPr>
          <w:cantSplit/>
        </w:trPr>
        <w:tc>
          <w:tcPr>
            <w:tcW w:w="1870" w:type="dxa"/>
          </w:tcPr>
          <w:p w14:paraId="59337898" w14:textId="77777777" w:rsidR="00874032" w:rsidRDefault="00874032" w:rsidP="00BA0A4B">
            <w:pPr>
              <w:pStyle w:val="TableSideHeading"/>
            </w:pPr>
          </w:p>
        </w:tc>
        <w:tc>
          <w:tcPr>
            <w:tcW w:w="624" w:type="dxa"/>
          </w:tcPr>
          <w:p w14:paraId="26A655AF" w14:textId="77777777" w:rsidR="00874032" w:rsidRDefault="00874032" w:rsidP="00BA0A4B">
            <w:pPr>
              <w:pStyle w:val="TableText"/>
            </w:pPr>
          </w:p>
        </w:tc>
        <w:tc>
          <w:tcPr>
            <w:tcW w:w="7143" w:type="dxa"/>
            <w:gridSpan w:val="2"/>
          </w:tcPr>
          <w:p w14:paraId="5631D4B8" w14:textId="77777777" w:rsidR="00874032" w:rsidRDefault="00874032" w:rsidP="00EA3BA3">
            <w:pPr>
              <w:pStyle w:val="TableBlock"/>
            </w:pPr>
            <w:r>
              <w:rPr>
                <w:sz w:val="26"/>
                <w:rtl/>
              </w:rPr>
              <w:t>(ג)</w:t>
            </w:r>
            <w:r>
              <w:rPr>
                <w:sz w:val="26"/>
                <w:rtl/>
              </w:rPr>
              <w:tab/>
              <w:t>לא התקבלה הסכמתו של אותו צד לסמכות בית הדין כאמור בסעיף קטן (ב), בתוך מועד שקבע בית הדין, ימסור בית הדין הודעה על כך לצדדים הנוגעים בדבר שהביעו הסכמתם לסמכות בית הדין, ורשאי הוא לתת להם היתר בית דין על פי הדין הדתי להגיש את תביעתם לערכאה אזרחית.</w:t>
            </w:r>
          </w:p>
        </w:tc>
      </w:tr>
      <w:tr w:rsidR="00874032" w14:paraId="422C85B7" w14:textId="77777777" w:rsidTr="00EA3BA3">
        <w:tblPrEx>
          <w:tblLook w:val="01E0" w:firstRow="1" w:lastRow="1" w:firstColumn="1" w:lastColumn="1" w:noHBand="0" w:noVBand="0"/>
        </w:tblPrEx>
        <w:trPr>
          <w:cantSplit/>
        </w:trPr>
        <w:tc>
          <w:tcPr>
            <w:tcW w:w="1870" w:type="dxa"/>
          </w:tcPr>
          <w:p w14:paraId="1B3CBE5A" w14:textId="77777777" w:rsidR="00874032" w:rsidRDefault="00874032" w:rsidP="00BA0A4B">
            <w:pPr>
              <w:pStyle w:val="TableSideHeading"/>
            </w:pPr>
          </w:p>
        </w:tc>
        <w:tc>
          <w:tcPr>
            <w:tcW w:w="624" w:type="dxa"/>
          </w:tcPr>
          <w:p w14:paraId="045F4BE7" w14:textId="77777777" w:rsidR="00874032" w:rsidRDefault="00874032" w:rsidP="00BA0A4B">
            <w:pPr>
              <w:pStyle w:val="TableText"/>
            </w:pPr>
          </w:p>
        </w:tc>
        <w:tc>
          <w:tcPr>
            <w:tcW w:w="7143" w:type="dxa"/>
            <w:gridSpan w:val="2"/>
          </w:tcPr>
          <w:p w14:paraId="56EFA227" w14:textId="77777777" w:rsidR="00874032" w:rsidRDefault="00874032" w:rsidP="00EA3BA3">
            <w:pPr>
              <w:pStyle w:val="TableBlock"/>
            </w:pPr>
            <w:r>
              <w:rPr>
                <w:sz w:val="26"/>
                <w:rtl/>
              </w:rPr>
              <w:t>(ד)</w:t>
            </w:r>
            <w:r>
              <w:rPr>
                <w:sz w:val="26"/>
                <w:rtl/>
              </w:rPr>
              <w:tab/>
              <w:t>היה אחד הצדדים הנוגעים בדבר קטין, חסוי, פסול דין או נעדר, ימסור בית הדין הדתי הודעה על כך ליועץ המשפטי לממשלה, ורשאי בית הדין למנות לאותו צד אפוטרופוס לצורך מתן הסכמה לסמכות בית הדין לדון כבורר כאמור בסעיף זה ולצורך ייצוגו לפניו.</w:t>
            </w:r>
          </w:p>
        </w:tc>
      </w:tr>
      <w:tr w:rsidR="00874032" w14:paraId="1780BF56" w14:textId="77777777" w:rsidTr="00EA3BA3">
        <w:tblPrEx>
          <w:tblLook w:val="01E0" w:firstRow="1" w:lastRow="1" w:firstColumn="1" w:lastColumn="1" w:noHBand="0" w:noVBand="0"/>
        </w:tblPrEx>
        <w:trPr>
          <w:cantSplit/>
        </w:trPr>
        <w:tc>
          <w:tcPr>
            <w:tcW w:w="1870" w:type="dxa"/>
          </w:tcPr>
          <w:p w14:paraId="41128543" w14:textId="77777777" w:rsidR="00874032" w:rsidRDefault="00874032" w:rsidP="00BA0A4B">
            <w:pPr>
              <w:pStyle w:val="TableSideHeading"/>
            </w:pPr>
          </w:p>
        </w:tc>
        <w:tc>
          <w:tcPr>
            <w:tcW w:w="624" w:type="dxa"/>
          </w:tcPr>
          <w:p w14:paraId="7E8F35A0" w14:textId="77777777" w:rsidR="00874032" w:rsidRDefault="00874032" w:rsidP="00BA0A4B">
            <w:pPr>
              <w:pStyle w:val="TableText"/>
            </w:pPr>
          </w:p>
        </w:tc>
        <w:tc>
          <w:tcPr>
            <w:tcW w:w="7143" w:type="dxa"/>
            <w:gridSpan w:val="2"/>
          </w:tcPr>
          <w:p w14:paraId="5709369B" w14:textId="77777777" w:rsidR="00874032" w:rsidRDefault="00874032" w:rsidP="00EA3BA3">
            <w:pPr>
              <w:pStyle w:val="TableBlock"/>
            </w:pPr>
            <w:r>
              <w:rPr>
                <w:sz w:val="26"/>
                <w:rtl/>
              </w:rPr>
              <w:t>(ה)</w:t>
            </w:r>
            <w:r>
              <w:rPr>
                <w:sz w:val="26"/>
                <w:rtl/>
              </w:rPr>
              <w:tab/>
              <w:t>עד לקבלת הסכמתם בכתב של כל הצדדים הנוגעים בדבר לסמכותו של בית דין דתי לדון לפי סעיף זה לא יקיים בית הדין כל דיון בענ</w:t>
            </w:r>
            <w:r>
              <w:rPr>
                <w:rFonts w:hint="cs"/>
                <w:sz w:val="26"/>
                <w:rtl/>
              </w:rPr>
              <w:t>י</w:t>
            </w:r>
            <w:r>
              <w:rPr>
                <w:sz w:val="26"/>
                <w:rtl/>
              </w:rPr>
              <w:t>ין, אך רשאי הוא לתת היתר בית דין על פי דין תורה להגיש בקשה לסעד זמני לערכאה אזרחית.</w:t>
            </w:r>
          </w:p>
        </w:tc>
      </w:tr>
      <w:tr w:rsidR="00874032" w14:paraId="0E671AAB" w14:textId="77777777" w:rsidTr="00EA3BA3">
        <w:tblPrEx>
          <w:tblLook w:val="01E0" w:firstRow="1" w:lastRow="1" w:firstColumn="1" w:lastColumn="1" w:noHBand="0" w:noVBand="0"/>
        </w:tblPrEx>
        <w:trPr>
          <w:cantSplit/>
        </w:trPr>
        <w:tc>
          <w:tcPr>
            <w:tcW w:w="1870" w:type="dxa"/>
          </w:tcPr>
          <w:p w14:paraId="413916B7" w14:textId="77777777" w:rsidR="00874032" w:rsidRDefault="00874032" w:rsidP="00BA0A4B">
            <w:pPr>
              <w:pStyle w:val="TableSideHeading"/>
            </w:pPr>
            <w:r>
              <w:rPr>
                <w:rtl/>
              </w:rPr>
              <w:t>תחולת הדין הדתי</w:t>
            </w:r>
          </w:p>
        </w:tc>
        <w:tc>
          <w:tcPr>
            <w:tcW w:w="624" w:type="dxa"/>
          </w:tcPr>
          <w:p w14:paraId="46294777" w14:textId="77777777" w:rsidR="00874032" w:rsidRDefault="00874032" w:rsidP="00BA0A4B">
            <w:pPr>
              <w:pStyle w:val="TableText"/>
            </w:pPr>
            <w:r>
              <w:rPr>
                <w:rtl/>
              </w:rPr>
              <w:t>4.</w:t>
            </w:r>
          </w:p>
        </w:tc>
        <w:tc>
          <w:tcPr>
            <w:tcW w:w="7143" w:type="dxa"/>
            <w:gridSpan w:val="2"/>
          </w:tcPr>
          <w:p w14:paraId="38A78A08" w14:textId="77777777" w:rsidR="00874032" w:rsidRDefault="00874032" w:rsidP="00EA3BA3">
            <w:pPr>
              <w:pStyle w:val="TableBlock"/>
            </w:pPr>
            <w:r>
              <w:rPr>
                <w:sz w:val="26"/>
                <w:rtl/>
              </w:rPr>
              <w:t>בלי לגרוע מסמכויות בית דין, בענ</w:t>
            </w:r>
            <w:r>
              <w:rPr>
                <w:rFonts w:hint="cs"/>
                <w:sz w:val="26"/>
                <w:rtl/>
              </w:rPr>
              <w:t>י</w:t>
            </w:r>
            <w:r>
              <w:rPr>
                <w:sz w:val="26"/>
                <w:rtl/>
              </w:rPr>
              <w:t>ין שהובא בפני בית דין בהתאם לחוק זה רשאי בית הדין לדון ולפסוק לפי הדין הדתי שחל בו.</w:t>
            </w:r>
          </w:p>
        </w:tc>
      </w:tr>
      <w:tr w:rsidR="00874032" w14:paraId="155EDABE" w14:textId="77777777" w:rsidTr="00EA3BA3">
        <w:tblPrEx>
          <w:tblLook w:val="01E0" w:firstRow="1" w:lastRow="1" w:firstColumn="1" w:lastColumn="1" w:noHBand="0" w:noVBand="0"/>
        </w:tblPrEx>
        <w:trPr>
          <w:cantSplit/>
        </w:trPr>
        <w:tc>
          <w:tcPr>
            <w:tcW w:w="1870" w:type="dxa"/>
          </w:tcPr>
          <w:p w14:paraId="2476C9B8" w14:textId="77777777" w:rsidR="00874032" w:rsidRDefault="00874032" w:rsidP="00BA0A4B">
            <w:pPr>
              <w:pStyle w:val="TableSideHeading"/>
            </w:pPr>
            <w:r>
              <w:rPr>
                <w:rtl/>
              </w:rPr>
              <w:t>הוראות חוק הבוררות</w:t>
            </w:r>
          </w:p>
        </w:tc>
        <w:tc>
          <w:tcPr>
            <w:tcW w:w="624" w:type="dxa"/>
          </w:tcPr>
          <w:p w14:paraId="7C256923" w14:textId="77777777" w:rsidR="00874032" w:rsidRDefault="00874032" w:rsidP="00BA0A4B">
            <w:pPr>
              <w:pStyle w:val="TableText"/>
            </w:pPr>
            <w:r>
              <w:rPr>
                <w:rtl/>
              </w:rPr>
              <w:t>5.</w:t>
            </w:r>
          </w:p>
        </w:tc>
        <w:tc>
          <w:tcPr>
            <w:tcW w:w="7143" w:type="dxa"/>
            <w:gridSpan w:val="2"/>
          </w:tcPr>
          <w:p w14:paraId="423F66FD" w14:textId="77777777" w:rsidR="00874032" w:rsidRDefault="00874032" w:rsidP="00EA3BA3">
            <w:pPr>
              <w:pStyle w:val="TableBlock"/>
              <w:rPr>
                <w:sz w:val="26"/>
              </w:rPr>
            </w:pPr>
            <w:r>
              <w:rPr>
                <w:sz w:val="26"/>
                <w:rtl/>
              </w:rPr>
              <w:t xml:space="preserve">על בוררות לפי חוק זה יחולו, בשינויים המחויבים, הוראות חוק הבוררות, </w:t>
            </w:r>
            <w:proofErr w:type="spellStart"/>
            <w:r>
              <w:rPr>
                <w:sz w:val="26"/>
                <w:rtl/>
              </w:rPr>
              <w:t>התשכ"ח</w:t>
            </w:r>
            <w:proofErr w:type="spellEnd"/>
            <w:r>
              <w:rPr>
                <w:rFonts w:hint="cs"/>
                <w:sz w:val="26"/>
                <w:rtl/>
              </w:rPr>
              <w:t>–</w:t>
            </w:r>
            <w:r>
              <w:rPr>
                <w:sz w:val="26"/>
                <w:rtl/>
              </w:rPr>
              <w:t>1968</w:t>
            </w:r>
            <w:r>
              <w:rPr>
                <w:rStyle w:val="a6"/>
                <w:sz w:val="26"/>
                <w:rtl/>
              </w:rPr>
              <w:footnoteReference w:id="5"/>
            </w:r>
            <w:r>
              <w:rPr>
                <w:sz w:val="26"/>
                <w:rtl/>
              </w:rPr>
              <w:t>, למעט סעיפים 31 עד 35, ככל שאין בהן סתירה להוראות חוק זה.</w:t>
            </w:r>
          </w:p>
        </w:tc>
      </w:tr>
      <w:tr w:rsidR="00874032" w14:paraId="6C89A098" w14:textId="77777777" w:rsidTr="00EA3BA3">
        <w:trPr>
          <w:cantSplit/>
        </w:trPr>
        <w:tc>
          <w:tcPr>
            <w:tcW w:w="1870" w:type="dxa"/>
            <w:tcBorders>
              <w:top w:val="nil"/>
              <w:left w:val="nil"/>
              <w:bottom w:val="nil"/>
              <w:right w:val="nil"/>
            </w:tcBorders>
          </w:tcPr>
          <w:p w14:paraId="72FA74E6" w14:textId="77777777" w:rsidR="00874032" w:rsidRDefault="00874032" w:rsidP="00BA0A4B">
            <w:pPr>
              <w:pStyle w:val="TableSideHeading"/>
            </w:pPr>
            <w:r>
              <w:rPr>
                <w:sz w:val="26"/>
                <w:rtl/>
              </w:rPr>
              <w:t>תחולה והוראות מעבר</w:t>
            </w:r>
          </w:p>
        </w:tc>
        <w:tc>
          <w:tcPr>
            <w:tcW w:w="624" w:type="dxa"/>
            <w:tcBorders>
              <w:top w:val="nil"/>
              <w:left w:val="nil"/>
              <w:bottom w:val="nil"/>
              <w:right w:val="nil"/>
            </w:tcBorders>
          </w:tcPr>
          <w:p w14:paraId="0D639F82" w14:textId="77777777" w:rsidR="00874032" w:rsidRDefault="00874032" w:rsidP="00BA0A4B">
            <w:pPr>
              <w:pStyle w:val="TableText"/>
            </w:pPr>
            <w:r>
              <w:rPr>
                <w:sz w:val="26"/>
                <w:rtl/>
              </w:rPr>
              <w:t>6.</w:t>
            </w:r>
          </w:p>
        </w:tc>
        <w:tc>
          <w:tcPr>
            <w:tcW w:w="7143" w:type="dxa"/>
            <w:gridSpan w:val="2"/>
            <w:tcBorders>
              <w:top w:val="nil"/>
              <w:left w:val="nil"/>
              <w:bottom w:val="nil"/>
              <w:right w:val="nil"/>
            </w:tcBorders>
          </w:tcPr>
          <w:p w14:paraId="41EAECC2" w14:textId="77777777" w:rsidR="00874032" w:rsidRDefault="00874032" w:rsidP="00EA3BA3">
            <w:pPr>
              <w:pStyle w:val="TableBlock"/>
            </w:pPr>
            <w:r>
              <w:rPr>
                <w:sz w:val="26"/>
                <w:rtl/>
              </w:rPr>
              <w:t>(א)</w:t>
            </w:r>
            <w:r>
              <w:rPr>
                <w:sz w:val="26"/>
                <w:rtl/>
              </w:rPr>
              <w:tab/>
              <w:t>פסק בוררות שנתן בית דין דתי לפני תחילתו של חוק זה, שמתקיימים לגביו התנאים האמורים בסעיף 2 לחוק זה, יראו אותו כאילו ניתן לפי הוראות חוק זה.</w:t>
            </w:r>
          </w:p>
        </w:tc>
      </w:tr>
      <w:tr w:rsidR="00874032" w14:paraId="2DA1F2A8" w14:textId="77777777" w:rsidTr="00EA3BA3">
        <w:trPr>
          <w:cantSplit/>
        </w:trPr>
        <w:tc>
          <w:tcPr>
            <w:tcW w:w="1870" w:type="dxa"/>
            <w:tcBorders>
              <w:top w:val="nil"/>
              <w:left w:val="nil"/>
              <w:bottom w:val="nil"/>
              <w:right w:val="nil"/>
            </w:tcBorders>
          </w:tcPr>
          <w:p w14:paraId="76E2EA6A" w14:textId="77777777" w:rsidR="00874032" w:rsidRDefault="00874032" w:rsidP="00BA0A4B">
            <w:pPr>
              <w:pStyle w:val="TableSideHeading"/>
              <w:rPr>
                <w:sz w:val="26"/>
              </w:rPr>
            </w:pPr>
          </w:p>
        </w:tc>
        <w:tc>
          <w:tcPr>
            <w:tcW w:w="624" w:type="dxa"/>
            <w:tcBorders>
              <w:top w:val="nil"/>
              <w:left w:val="nil"/>
              <w:bottom w:val="nil"/>
              <w:right w:val="nil"/>
            </w:tcBorders>
          </w:tcPr>
          <w:p w14:paraId="7A47E6CE" w14:textId="77777777" w:rsidR="00874032" w:rsidRDefault="00874032" w:rsidP="00BA0A4B">
            <w:pPr>
              <w:pStyle w:val="TableText"/>
            </w:pPr>
          </w:p>
        </w:tc>
        <w:tc>
          <w:tcPr>
            <w:tcW w:w="7143" w:type="dxa"/>
            <w:gridSpan w:val="2"/>
            <w:tcBorders>
              <w:top w:val="nil"/>
              <w:left w:val="nil"/>
              <w:bottom w:val="nil"/>
              <w:right w:val="nil"/>
            </w:tcBorders>
          </w:tcPr>
          <w:p w14:paraId="336E683E" w14:textId="77777777" w:rsidR="00874032" w:rsidRDefault="00874032" w:rsidP="00EA3BA3">
            <w:pPr>
              <w:pStyle w:val="TableBlock"/>
              <w:rPr>
                <w:sz w:val="26"/>
              </w:rPr>
            </w:pPr>
            <w:r>
              <w:rPr>
                <w:sz w:val="26"/>
                <w:rtl/>
              </w:rPr>
              <w:t>(ב)</w:t>
            </w:r>
            <w:r>
              <w:rPr>
                <w:sz w:val="26"/>
                <w:rtl/>
              </w:rPr>
              <w:tab/>
              <w:t>הוראות חוק זה יחולו גם על הליכי בוררות התלויים ועומדים לפני בית דין דתי ביום תחילתו של חוק זה.</w:t>
            </w:r>
          </w:p>
        </w:tc>
      </w:tr>
      <w:tr w:rsidR="00874032" w14:paraId="26865C9F" w14:textId="77777777" w:rsidTr="00EA3BA3">
        <w:trPr>
          <w:cantSplit/>
        </w:trPr>
        <w:tc>
          <w:tcPr>
            <w:tcW w:w="1870" w:type="dxa"/>
            <w:tcBorders>
              <w:top w:val="nil"/>
              <w:left w:val="nil"/>
              <w:bottom w:val="nil"/>
              <w:right w:val="nil"/>
            </w:tcBorders>
          </w:tcPr>
          <w:p w14:paraId="38E6F298" w14:textId="77777777" w:rsidR="00874032" w:rsidRDefault="00874032" w:rsidP="00BA0A4B">
            <w:pPr>
              <w:pStyle w:val="TableSideHeading"/>
              <w:rPr>
                <w:sz w:val="26"/>
              </w:rPr>
            </w:pPr>
          </w:p>
        </w:tc>
        <w:tc>
          <w:tcPr>
            <w:tcW w:w="624" w:type="dxa"/>
            <w:tcBorders>
              <w:top w:val="nil"/>
              <w:left w:val="nil"/>
              <w:bottom w:val="nil"/>
              <w:right w:val="nil"/>
            </w:tcBorders>
          </w:tcPr>
          <w:p w14:paraId="0EF589B6" w14:textId="77777777" w:rsidR="00874032" w:rsidRDefault="00874032" w:rsidP="00BA0A4B">
            <w:pPr>
              <w:pStyle w:val="TableText"/>
            </w:pPr>
          </w:p>
        </w:tc>
        <w:tc>
          <w:tcPr>
            <w:tcW w:w="7143" w:type="dxa"/>
            <w:gridSpan w:val="2"/>
            <w:tcBorders>
              <w:top w:val="nil"/>
              <w:left w:val="nil"/>
              <w:bottom w:val="nil"/>
              <w:right w:val="nil"/>
            </w:tcBorders>
          </w:tcPr>
          <w:p w14:paraId="7CB0D272" w14:textId="77777777" w:rsidR="00874032" w:rsidRDefault="00874032" w:rsidP="00EA3BA3">
            <w:pPr>
              <w:pStyle w:val="TableBlock"/>
              <w:rPr>
                <w:sz w:val="26"/>
              </w:rPr>
            </w:pPr>
            <w:r>
              <w:rPr>
                <w:sz w:val="26"/>
                <w:rtl/>
              </w:rPr>
              <w:t>(ג)</w:t>
            </w:r>
            <w:r>
              <w:rPr>
                <w:sz w:val="26"/>
                <w:rtl/>
              </w:rPr>
              <w:tab/>
              <w:t>הוראות חוק זה יחולו גם על הסכם אשר נערך לפני תחילתו של חוק זה ושנקבע בו שתתקיים בוררות בבית דין בעניין אזרחי.</w:t>
            </w:r>
          </w:p>
        </w:tc>
      </w:tr>
    </w:tbl>
    <w:p w14:paraId="0B9C0752" w14:textId="77777777" w:rsidR="00874032" w:rsidRPr="004E2872" w:rsidRDefault="00874032" w:rsidP="00874032">
      <w:pPr>
        <w:pStyle w:val="HeadDivreiHesber"/>
        <w:spacing w:before="0" w:after="0"/>
        <w:rPr>
          <w:rtl/>
        </w:rPr>
      </w:pPr>
    </w:p>
    <w:p w14:paraId="0807C544" w14:textId="77777777" w:rsidR="00874032" w:rsidRDefault="00874032" w:rsidP="00874032">
      <w:pPr>
        <w:pStyle w:val="HeadDivreiHesber"/>
        <w:spacing w:before="0" w:after="0"/>
        <w:rPr>
          <w:rtl/>
        </w:rPr>
      </w:pPr>
      <w:r>
        <w:rPr>
          <w:rFonts w:hint="cs"/>
          <w:rtl/>
        </w:rPr>
        <w:t>דברי הסבר</w:t>
      </w:r>
    </w:p>
    <w:p w14:paraId="2D27654C" w14:textId="77777777" w:rsidR="00874032" w:rsidRPr="003272CB" w:rsidRDefault="00874032" w:rsidP="003272CB">
      <w:pPr>
        <w:pStyle w:val="Hesber"/>
        <w:rPr>
          <w:rtl/>
        </w:rPr>
      </w:pPr>
      <w:r w:rsidRPr="003272CB">
        <w:rPr>
          <w:rtl/>
        </w:rPr>
        <w:t>מטרתה של הצעת חוק זו היא לעגן בחוק את סמכותם של בתי הדין הדתיים לדון בהסכמת הצדדים בעניינים אזרחיים היכולים לשמש נושא להסכם בין צדדים.</w:t>
      </w:r>
    </w:p>
    <w:p w14:paraId="5B65D2CC" w14:textId="7C7A0FD4" w:rsidR="00874032" w:rsidRPr="003272CB" w:rsidRDefault="00874032" w:rsidP="003272CB">
      <w:pPr>
        <w:pStyle w:val="Hesber"/>
        <w:rPr>
          <w:rtl/>
        </w:rPr>
      </w:pPr>
      <w:r w:rsidRPr="003272CB">
        <w:rPr>
          <w:rtl/>
        </w:rPr>
        <w:t>בתי הדין הרבניים בישראל עסקו מאז ומעולם בבירור סכסוכים בעניינים אזרחיים בהסכמת  הצדדים. על פי תקנות הדיון בבתי</w:t>
      </w:r>
      <w:r w:rsidR="003272CB">
        <w:rPr>
          <w:rFonts w:hint="cs"/>
          <w:rtl/>
        </w:rPr>
        <w:t>-</w:t>
      </w:r>
      <w:r w:rsidRPr="003272CB">
        <w:rPr>
          <w:rtl/>
        </w:rPr>
        <w:t>הדין הרבניים</w:t>
      </w:r>
      <w:r w:rsidR="003272CB">
        <w:rPr>
          <w:rFonts w:hint="cs"/>
          <w:rtl/>
        </w:rPr>
        <w:t xml:space="preserve"> בישראל</w:t>
      </w:r>
      <w:r w:rsidRPr="003272CB">
        <w:rPr>
          <w:rtl/>
        </w:rPr>
        <w:t>,</w:t>
      </w:r>
      <w:r w:rsidR="003272CB">
        <w:rPr>
          <w:rFonts w:hint="cs"/>
          <w:rtl/>
        </w:rPr>
        <w:t xml:space="preserve"> </w:t>
      </w:r>
      <w:proofErr w:type="spellStart"/>
      <w:r w:rsidR="003272CB">
        <w:rPr>
          <w:rFonts w:hint="cs"/>
          <w:rtl/>
        </w:rPr>
        <w:t>התשנ"ג</w:t>
      </w:r>
      <w:proofErr w:type="spellEnd"/>
      <w:r w:rsidR="003272CB">
        <w:rPr>
          <w:rFonts w:hint="cs"/>
          <w:rtl/>
        </w:rPr>
        <w:t>,</w:t>
      </w:r>
      <w:r w:rsidRPr="003272CB">
        <w:rPr>
          <w:rtl/>
        </w:rPr>
        <w:t xml:space="preserve"> פסקי הדין חייבים להיות מנומקים </w:t>
      </w:r>
      <w:r w:rsidRPr="003272CB">
        <w:rPr>
          <w:rtl/>
        </w:rPr>
        <w:lastRenderedPageBreak/>
        <w:t>והם ניתנים לערעור בפני בית הדין הרבני הגדול. מאות ואלפי פסקי דין רבניים בענ</w:t>
      </w:r>
      <w:r w:rsidRPr="003272CB">
        <w:rPr>
          <w:rFonts w:hint="cs"/>
          <w:rtl/>
        </w:rPr>
        <w:t>י</w:t>
      </w:r>
      <w:r w:rsidRPr="003272CB">
        <w:rPr>
          <w:rtl/>
        </w:rPr>
        <w:t xml:space="preserve">יני ממון פורסמו בקבצי פסקי דין רבניים, והם מהווים חלק מן המשפט העברי המשמש מקור משפטי חשוב, הן בישראל, לפי חוק יסודות המשפט, </w:t>
      </w:r>
      <w:proofErr w:type="spellStart"/>
      <w:r w:rsidRPr="003272CB">
        <w:rPr>
          <w:rtl/>
        </w:rPr>
        <w:t>התש"ם</w:t>
      </w:r>
      <w:proofErr w:type="spellEnd"/>
      <w:r w:rsidRPr="003272CB">
        <w:rPr>
          <w:rtl/>
        </w:rPr>
        <w:t>–1980, והן בכל תפוצות הגולה.</w:t>
      </w:r>
    </w:p>
    <w:p w14:paraId="6C54D32B" w14:textId="7B0A5563" w:rsidR="00874032" w:rsidRPr="003272CB" w:rsidRDefault="00874032" w:rsidP="00707019">
      <w:pPr>
        <w:pStyle w:val="Hesber"/>
        <w:rPr>
          <w:rtl/>
        </w:rPr>
      </w:pPr>
      <w:r w:rsidRPr="003272CB">
        <w:rPr>
          <w:rtl/>
        </w:rPr>
        <w:t xml:space="preserve">בפסק הדין שניתן בבג"ץ 8638/03 </w:t>
      </w:r>
      <w:r w:rsidRPr="003272CB">
        <w:rPr>
          <w:b/>
          <w:bCs/>
          <w:rtl/>
        </w:rPr>
        <w:t>אמיר נ' בית הדין הרבני הגדול</w:t>
      </w:r>
      <w:r w:rsidR="00707019" w:rsidRPr="00707019">
        <w:rPr>
          <w:rFonts w:hint="cs"/>
          <w:b/>
          <w:bCs/>
          <w:rtl/>
        </w:rPr>
        <w:t>,</w:t>
      </w:r>
      <w:r w:rsidR="00707019" w:rsidRPr="00707019">
        <w:rPr>
          <w:rFonts w:hint="cs"/>
          <w:rtl/>
        </w:rPr>
        <w:t xml:space="preserve"> פ</w:t>
      </w:r>
      <w:r w:rsidR="00707019">
        <w:rPr>
          <w:rFonts w:hint="cs"/>
          <w:rtl/>
        </w:rPr>
        <w:t xml:space="preserve">"ד </w:t>
      </w:r>
      <w:proofErr w:type="spellStart"/>
      <w:r w:rsidR="00707019">
        <w:rPr>
          <w:rFonts w:hint="cs"/>
          <w:rtl/>
        </w:rPr>
        <w:t>סא</w:t>
      </w:r>
      <w:proofErr w:type="spellEnd"/>
      <w:r w:rsidR="00707019">
        <w:rPr>
          <w:rFonts w:hint="cs"/>
          <w:rtl/>
        </w:rPr>
        <w:t>(1) 259</w:t>
      </w:r>
      <w:r w:rsidRPr="003272CB">
        <w:rPr>
          <w:rtl/>
        </w:rPr>
        <w:t xml:space="preserve"> נאמר כי "עקרון החוקיות" מחייב שסמכותו של בית הדין הרבני לדון בהסכמת בעלי הדין בסכסוכים ממוניים שאינם בגדר ענייני נישואין וגירושין, תעוגן בחקיקה מפורשת של הכנסת.</w:t>
      </w:r>
    </w:p>
    <w:p w14:paraId="0D360A84" w14:textId="77777777" w:rsidR="00874032" w:rsidRPr="003272CB" w:rsidRDefault="00874032" w:rsidP="003272CB">
      <w:pPr>
        <w:pStyle w:val="Hesber"/>
        <w:rPr>
          <w:rtl/>
        </w:rPr>
      </w:pPr>
      <w:r w:rsidRPr="003272CB">
        <w:rPr>
          <w:rtl/>
        </w:rPr>
        <w:t xml:space="preserve">בית המשפט העליון הכיר בצורך של קבוצות רבות בקרב הציבור היהודי בישראל ליישב סכסוכים אך ורק בבתי דין הפוסקים על פי דין תורה. צורך זה משתלב בעקרון "הפלורליזם השיפוטי", לפיו מן הראוי שהמדינה תעמיד לרשות אוכלוסיות בעלות מאפיינים ייחודיים כלים ליישוב סכסוכים בדרך משפטית אלטרנטיבית המקובלת על קהילותיהם. בכך יש ביטוי לזכות היסוד לגישה חופשית לערכאות משפטיות, לרבות בתי הדין הדתיים. </w:t>
      </w:r>
    </w:p>
    <w:p w14:paraId="6D3E2106" w14:textId="1485EC0F" w:rsidR="00874032" w:rsidRPr="003272CB" w:rsidRDefault="00707019" w:rsidP="003272CB">
      <w:pPr>
        <w:pStyle w:val="Hesber"/>
        <w:rPr>
          <w:rtl/>
        </w:rPr>
      </w:pPr>
      <w:r>
        <w:rPr>
          <w:rtl/>
        </w:rPr>
        <w:t>בהתאם לכך מוצע</w:t>
      </w:r>
      <w:r w:rsidR="00874032" w:rsidRPr="003272CB">
        <w:rPr>
          <w:rtl/>
        </w:rPr>
        <w:t xml:space="preserve"> כי בתי הדין הדתיים בישראל הפועלים מכ</w:t>
      </w:r>
      <w:r w:rsidR="00874032" w:rsidRPr="003272CB">
        <w:rPr>
          <w:rFonts w:hint="cs"/>
          <w:rtl/>
        </w:rPr>
        <w:t>ו</w:t>
      </w:r>
      <w:r w:rsidR="00874032" w:rsidRPr="003272CB">
        <w:rPr>
          <w:rtl/>
        </w:rPr>
        <w:t>ח חוק ראשי שיוחד עבורם ושדייניהם מתמנים על פי חוק, יוסמכו במפורש לדון בבוררות בהסכמה. אין זה מן הנמנע להחיל את החוק גם על בתי הדין של העדות הנוצריות המוכרות בישראל לפי חוק, אך נראה לכאורה כי גם ללא הסדר מפורש בחוק</w:t>
      </w:r>
      <w:r>
        <w:rPr>
          <w:rtl/>
        </w:rPr>
        <w:t xml:space="preserve"> הם מוסמכים לדון כבוררים, מאחר </w:t>
      </w:r>
      <w:r>
        <w:rPr>
          <w:rFonts w:hint="cs"/>
          <w:rtl/>
        </w:rPr>
        <w:t>ש</w:t>
      </w:r>
      <w:r w:rsidR="00874032" w:rsidRPr="003272CB">
        <w:rPr>
          <w:rtl/>
        </w:rPr>
        <w:t xml:space="preserve">אין חוק המסדיר את ייסודם ומינוי דייניהם.  </w:t>
      </w:r>
    </w:p>
    <w:p w14:paraId="0385D06E" w14:textId="6B1F99DA" w:rsidR="00874032" w:rsidRPr="003272CB" w:rsidRDefault="00874032" w:rsidP="00707019">
      <w:pPr>
        <w:pStyle w:val="Hesber"/>
        <w:rPr>
          <w:rtl/>
        </w:rPr>
      </w:pPr>
      <w:r w:rsidRPr="003272CB">
        <w:rPr>
          <w:rtl/>
        </w:rPr>
        <w:t>אופן הפניה אל בית הדין הדתי, כפי שמוצע להסדירו בהצעת חוק זו, מבטיח כי בית הדין הדתי ידון רק בסכסוך אשר כל הצדדים הנוגעים בדבר מסכימים במפורש, בכתב, לדיון בפני בית הדין. הצעת החוק לא נועדה ל"כפי</w:t>
      </w:r>
      <w:r w:rsidR="00707019">
        <w:rPr>
          <w:rFonts w:hint="cs"/>
          <w:rtl/>
        </w:rPr>
        <w:t>י</w:t>
      </w:r>
      <w:r w:rsidRPr="003272CB">
        <w:rPr>
          <w:rtl/>
        </w:rPr>
        <w:t>ה דתית". ההצעה אינה מסמיכה את בתי הדין הדתיים לתת עיצום דתי, כמו "כתב סירוב" או חרם דתי נגד צד נוגע בדבר שאינו מסכים להתדיין בפני בית הדין. מצד שני, הדין הדתי – לפחות דין תורה – מצריך כי בעל</w:t>
      </w:r>
      <w:r w:rsidR="00707019">
        <w:rPr>
          <w:rFonts w:hint="cs"/>
          <w:rtl/>
        </w:rPr>
        <w:t xml:space="preserve"> </w:t>
      </w:r>
      <w:r w:rsidRPr="003272CB">
        <w:rPr>
          <w:rtl/>
        </w:rPr>
        <w:t>דין ימצה את האפשרות להתדיין על פי הדין הדתי בטרם פנייתו אל ערכאות אזרחיות, ולשם כך יינתן לו "היתר בית דין". מן הראוי לכבד בעלי דין דתיים המקפידים לקבל "היתר בית דין" כאמור בטרם פניה מצדם לערכאות אזרחיות, ולהסדיר עבורם את האפשרות לקבל היתר זה מבית הדין, ובלבד שלא יכלול עיצום דתי.</w:t>
      </w:r>
    </w:p>
    <w:p w14:paraId="3F99B8FE" w14:textId="26B1E40D" w:rsidR="00874032" w:rsidRPr="003272CB" w:rsidRDefault="00874032" w:rsidP="003272CB">
      <w:pPr>
        <w:pStyle w:val="Hesber"/>
        <w:rPr>
          <w:rtl/>
        </w:rPr>
      </w:pPr>
      <w:r w:rsidRPr="003272CB">
        <w:rPr>
          <w:rtl/>
        </w:rPr>
        <w:t>הצעת חוק זו, בשונה מהצעות חוק קודמות שעסקו בענ</w:t>
      </w:r>
      <w:r w:rsidRPr="003272CB">
        <w:rPr>
          <w:rFonts w:hint="cs"/>
          <w:rtl/>
        </w:rPr>
        <w:t>י</w:t>
      </w:r>
      <w:r w:rsidRPr="003272CB">
        <w:rPr>
          <w:rtl/>
        </w:rPr>
        <w:t>ין, מוציאה מתוכה במפורש (בפסקה 3 להגדרת "עניין אזרחי") את האפשרות כי בית הדין יוכל לדון במסגרת של בוררות בענ</w:t>
      </w:r>
      <w:r w:rsidRPr="003272CB">
        <w:rPr>
          <w:rFonts w:hint="cs"/>
          <w:rtl/>
        </w:rPr>
        <w:t>י</w:t>
      </w:r>
      <w:r w:rsidRPr="003272CB">
        <w:rPr>
          <w:rtl/>
        </w:rPr>
        <w:t>יני רכוש הכרוכים בגירושין או בעניין אחר של מעמד אישי, אשר לבית דין דתי קיימת לגביו סמכות שיפוט ולוּ בהסכמה (כגון סעיף 9 לחוק שיפוט בתי דין רבניים</w:t>
      </w:r>
      <w:r w:rsidR="00F366E6">
        <w:rPr>
          <w:rFonts w:hint="cs"/>
          <w:rtl/>
        </w:rPr>
        <w:t xml:space="preserve"> (נישואין וגירושין), </w:t>
      </w:r>
      <w:proofErr w:type="spellStart"/>
      <w:r w:rsidR="00F366E6">
        <w:rPr>
          <w:rFonts w:hint="cs"/>
          <w:rtl/>
        </w:rPr>
        <w:t>התשי"ג</w:t>
      </w:r>
      <w:proofErr w:type="spellEnd"/>
      <w:r w:rsidR="00F366E6">
        <w:rPr>
          <w:rFonts w:hint="cs"/>
          <w:rtl/>
        </w:rPr>
        <w:t>–1953</w:t>
      </w:r>
      <w:r w:rsidRPr="003272CB">
        <w:rPr>
          <w:rtl/>
        </w:rPr>
        <w:t>). הדבר נעשה כדי לגבש הסכמה רחבה, ולהימנע ממחלוקת ציבורית באשר להרחבת סמכויות בתי הדין הדתיים בעני</w:t>
      </w:r>
      <w:r w:rsidRPr="003272CB">
        <w:rPr>
          <w:rFonts w:hint="cs"/>
          <w:rtl/>
        </w:rPr>
        <w:t>י</w:t>
      </w:r>
      <w:r w:rsidRPr="003272CB">
        <w:rPr>
          <w:rtl/>
        </w:rPr>
        <w:t>ני גירושין.</w:t>
      </w:r>
    </w:p>
    <w:p w14:paraId="1F6A875A" w14:textId="53CBD4FF" w:rsidR="00874032" w:rsidRPr="003272CB" w:rsidRDefault="00874032" w:rsidP="00707019">
      <w:pPr>
        <w:pStyle w:val="Hesber"/>
        <w:rPr>
          <w:rtl/>
        </w:rPr>
      </w:pPr>
      <w:r w:rsidRPr="003272CB">
        <w:rPr>
          <w:rtl/>
        </w:rPr>
        <w:t>השאלה אם עדיף לתת לבתי הדין הדתיים לדון בהסכמה בסכסוך אזרחי ב"סמכות בוררות" או ב"סמכות שיפוט", הי</w:t>
      </w:r>
      <w:r w:rsidRPr="003272CB">
        <w:rPr>
          <w:rFonts w:hint="cs"/>
          <w:rtl/>
        </w:rPr>
        <w:t>א</w:t>
      </w:r>
      <w:r w:rsidRPr="003272CB">
        <w:rPr>
          <w:rtl/>
        </w:rPr>
        <w:t xml:space="preserve"> שאלה מורכבת שיש לה פנים לכאן ולכאן. הצעה חוק זו מתייחסת לסמכות של בוררות, מאחר </w:t>
      </w:r>
      <w:r w:rsidR="00707019">
        <w:rPr>
          <w:rFonts w:hint="cs"/>
          <w:rtl/>
        </w:rPr>
        <w:t>ש</w:t>
      </w:r>
      <w:r w:rsidRPr="003272CB">
        <w:rPr>
          <w:rtl/>
        </w:rPr>
        <w:t>על פני הדברים נראה כי לגביה יקל לגבש הסכמה רחבה. יחד עם זאת, לכל סוג של סמכות יש יתרונות וחסרונות, ואלו יידונו בפרוטרוט ובכובד ראש בוועדת החוקה, חוק ומשפט</w:t>
      </w:r>
      <w:r w:rsidRPr="003272CB">
        <w:rPr>
          <w:rFonts w:hint="cs"/>
          <w:rtl/>
        </w:rPr>
        <w:t xml:space="preserve"> של הכנסת</w:t>
      </w:r>
      <w:r w:rsidRPr="003272CB">
        <w:rPr>
          <w:rtl/>
        </w:rPr>
        <w:t>, מתוך מגמה שסוג הסמכות שיוחלט לגביו יגובש בהסכמה רחבה ככל האפשר.</w:t>
      </w:r>
    </w:p>
    <w:p w14:paraId="54D74F67" w14:textId="77777777" w:rsidR="00874032" w:rsidRPr="003272CB" w:rsidRDefault="00874032" w:rsidP="003272CB">
      <w:pPr>
        <w:pStyle w:val="Hesber"/>
        <w:rPr>
          <w:rtl/>
        </w:rPr>
      </w:pPr>
      <w:r w:rsidRPr="003272CB">
        <w:rPr>
          <w:rtl/>
        </w:rPr>
        <w:t xml:space="preserve">הצעת החוק מעגנת בחקיקה את המצב הנוהג ממילא בבתי הדין הרבניים, ולפיכך לא תידרש תוספת תקציבית לצורך יישום החוק בבתי הדין הרבניים. באשר לבתי הדין </w:t>
      </w:r>
      <w:proofErr w:type="spellStart"/>
      <w:r w:rsidRPr="003272CB">
        <w:rPr>
          <w:rtl/>
        </w:rPr>
        <w:t>השרעים</w:t>
      </w:r>
      <w:proofErr w:type="spellEnd"/>
      <w:r w:rsidRPr="003272CB">
        <w:rPr>
          <w:rtl/>
        </w:rPr>
        <w:t xml:space="preserve"> ובתי הדין הדרוזים, נראה כי אין מדובר במספר רב של תיקים שיבואו לטיפולם, וגם לגביהם לא תידרש תוספת תקציבית.</w:t>
      </w:r>
    </w:p>
    <w:p w14:paraId="1EFF6B51" w14:textId="0CBA1F51" w:rsidR="00454C03" w:rsidRPr="003272CB" w:rsidRDefault="00454C03" w:rsidP="003272CB">
      <w:pPr>
        <w:pStyle w:val="Hesber"/>
        <w:rPr>
          <w:rtl/>
        </w:rPr>
      </w:pPr>
      <w:r w:rsidRPr="003272CB">
        <w:rPr>
          <w:rtl/>
        </w:rPr>
        <w:t>הצע</w:t>
      </w:r>
      <w:r w:rsidRPr="003272CB">
        <w:rPr>
          <w:rFonts w:hint="cs"/>
          <w:rtl/>
        </w:rPr>
        <w:t>ו</w:t>
      </w:r>
      <w:r w:rsidRPr="003272CB">
        <w:rPr>
          <w:rtl/>
        </w:rPr>
        <w:t xml:space="preserve">ת חוק </w:t>
      </w:r>
      <w:r w:rsidR="00D87069" w:rsidRPr="003272CB">
        <w:rPr>
          <w:rFonts w:hint="cs"/>
          <w:rtl/>
        </w:rPr>
        <w:t>בנושא דומה</w:t>
      </w:r>
      <w:r w:rsidRPr="003272CB">
        <w:rPr>
          <w:rtl/>
        </w:rPr>
        <w:t xml:space="preserve"> הונחו על שולחן הכנסת השש-עשרה על ידי חברת הכנסת גילה פינקלשטיין </w:t>
      </w:r>
      <w:r w:rsidRPr="003272CB">
        <w:rPr>
          <w:rtl/>
        </w:rPr>
        <w:lastRenderedPageBreak/>
        <w:t>(פ/3037), על שולחן הכנסת השבע-עשרה על</w:t>
      </w:r>
      <w:r w:rsidRPr="003272CB">
        <w:rPr>
          <w:rFonts w:hint="cs"/>
          <w:rtl/>
        </w:rPr>
        <w:t xml:space="preserve"> </w:t>
      </w:r>
      <w:r w:rsidRPr="003272CB">
        <w:rPr>
          <w:rtl/>
        </w:rPr>
        <w:t>ידי חבר הכנסת זבולון אורלב (פ/144/17)</w:t>
      </w:r>
      <w:r w:rsidRPr="003272CB">
        <w:rPr>
          <w:rFonts w:hint="cs"/>
          <w:rtl/>
        </w:rPr>
        <w:t xml:space="preserve"> ו</w:t>
      </w:r>
      <w:r w:rsidRPr="003272CB">
        <w:rPr>
          <w:rtl/>
        </w:rPr>
        <w:t>על שולחן הכנסת השמונה</w:t>
      </w:r>
      <w:r w:rsidRPr="003272CB">
        <w:rPr>
          <w:rFonts w:hint="cs"/>
          <w:rtl/>
        </w:rPr>
        <w:t>-</w:t>
      </w:r>
      <w:r w:rsidRPr="003272CB">
        <w:rPr>
          <w:rtl/>
        </w:rPr>
        <w:t xml:space="preserve">עשרה על ידי חברי הכנסת משה גפני ואורי </w:t>
      </w:r>
      <w:proofErr w:type="spellStart"/>
      <w:r w:rsidRPr="003272CB">
        <w:rPr>
          <w:rtl/>
        </w:rPr>
        <w:t>מקלב</w:t>
      </w:r>
      <w:proofErr w:type="spellEnd"/>
      <w:r w:rsidRPr="003272CB">
        <w:rPr>
          <w:rtl/>
        </w:rPr>
        <w:t xml:space="preserve"> (פ/308/18)</w:t>
      </w:r>
      <w:r w:rsidRPr="003272CB">
        <w:rPr>
          <w:rFonts w:hint="cs"/>
          <w:rtl/>
        </w:rPr>
        <w:t>,</w:t>
      </w:r>
      <w:r w:rsidRPr="003272CB">
        <w:rPr>
          <w:rtl/>
        </w:rPr>
        <w:t xml:space="preserve"> על ידי חבר הכנסת דוד אזולאי (פ/1150/18) ועל ידי חבר הכנסת זבולון אורלב (פ/1388/18</w:t>
      </w:r>
      <w:r w:rsidR="00F14F72" w:rsidRPr="003272CB">
        <w:rPr>
          <w:rFonts w:hint="cs"/>
          <w:rtl/>
        </w:rPr>
        <w:t>; הוסרה מסדר היום ביום כ"ב בחש</w:t>
      </w:r>
      <w:r w:rsidR="00791813">
        <w:rPr>
          <w:rFonts w:hint="cs"/>
          <w:rtl/>
        </w:rPr>
        <w:t>ו</w:t>
      </w:r>
      <w:r w:rsidR="00F14F72" w:rsidRPr="003272CB">
        <w:rPr>
          <w:rFonts w:hint="cs"/>
          <w:rtl/>
        </w:rPr>
        <w:t xml:space="preserve">ון </w:t>
      </w:r>
      <w:proofErr w:type="spellStart"/>
      <w:r w:rsidR="00F14F72" w:rsidRPr="003272CB">
        <w:rPr>
          <w:rFonts w:hint="cs"/>
          <w:rtl/>
        </w:rPr>
        <w:t>התש"ע</w:t>
      </w:r>
      <w:proofErr w:type="spellEnd"/>
      <w:r w:rsidR="00F14F72" w:rsidRPr="003272CB">
        <w:rPr>
          <w:rFonts w:hint="cs"/>
          <w:rtl/>
        </w:rPr>
        <w:t xml:space="preserve"> (9 בנובמבר 2009)</w:t>
      </w:r>
      <w:r w:rsidRPr="003272CB">
        <w:rPr>
          <w:rtl/>
        </w:rPr>
        <w:t>).</w:t>
      </w:r>
    </w:p>
    <w:p w14:paraId="29992CE7" w14:textId="73268327" w:rsidR="00874032" w:rsidRPr="003272CB" w:rsidRDefault="00874032" w:rsidP="003272CB">
      <w:pPr>
        <w:pStyle w:val="Hesber"/>
        <w:rPr>
          <w:rtl/>
        </w:rPr>
      </w:pPr>
      <w:r w:rsidRPr="003272CB">
        <w:rPr>
          <w:rFonts w:hint="cs"/>
          <w:rtl/>
        </w:rPr>
        <w:t>הצע</w:t>
      </w:r>
      <w:r w:rsidR="00454C03" w:rsidRPr="003272CB">
        <w:rPr>
          <w:rFonts w:hint="cs"/>
          <w:rtl/>
        </w:rPr>
        <w:t>ו</w:t>
      </w:r>
      <w:r w:rsidRPr="003272CB">
        <w:rPr>
          <w:rFonts w:hint="cs"/>
          <w:rtl/>
        </w:rPr>
        <w:t>ת חוק זה</w:t>
      </w:r>
      <w:r w:rsidR="00454C03" w:rsidRPr="003272CB">
        <w:rPr>
          <w:rFonts w:hint="cs"/>
          <w:rtl/>
        </w:rPr>
        <w:t>ות</w:t>
      </w:r>
      <w:r w:rsidRPr="003272CB">
        <w:rPr>
          <w:rFonts w:hint="cs"/>
          <w:rtl/>
        </w:rPr>
        <w:t xml:space="preserve"> הונחה על שולחן הכנסת השמונה-עשרה על ידי חבר הכנסת זבולון אורלב (פ/2467/18)</w:t>
      </w:r>
      <w:r w:rsidR="00454C03" w:rsidRPr="003272CB">
        <w:rPr>
          <w:rFonts w:hint="cs"/>
          <w:rtl/>
        </w:rPr>
        <w:t xml:space="preserve"> ועל שולחן הכנסת</w:t>
      </w:r>
      <w:r w:rsidRPr="003272CB">
        <w:rPr>
          <w:rFonts w:hint="cs"/>
          <w:rtl/>
        </w:rPr>
        <w:t xml:space="preserve"> התשע</w:t>
      </w:r>
      <w:r w:rsidR="00454C03" w:rsidRPr="003272CB">
        <w:rPr>
          <w:rFonts w:hint="cs"/>
          <w:rtl/>
        </w:rPr>
        <w:t>-</w:t>
      </w:r>
      <w:r w:rsidRPr="003272CB">
        <w:rPr>
          <w:rFonts w:hint="cs"/>
          <w:rtl/>
        </w:rPr>
        <w:t xml:space="preserve">עשרה על ידי חבר הכנסת זבולון כלפה וקבוצת חברי </w:t>
      </w:r>
      <w:r w:rsidR="00791813">
        <w:rPr>
          <w:rFonts w:hint="cs"/>
          <w:rtl/>
        </w:rPr>
        <w:t>ה</w:t>
      </w:r>
      <w:r w:rsidRPr="003272CB">
        <w:rPr>
          <w:rFonts w:hint="cs"/>
          <w:rtl/>
        </w:rPr>
        <w:t>כנסת</w:t>
      </w:r>
      <w:bookmarkStart w:id="8" w:name="LawNum"/>
      <w:r w:rsidRPr="003272CB">
        <w:rPr>
          <w:rtl/>
        </w:rPr>
        <w:t xml:space="preserve"> </w:t>
      </w:r>
      <w:r w:rsidR="00454C03" w:rsidRPr="003272CB">
        <w:rPr>
          <w:rFonts w:hint="cs"/>
          <w:rtl/>
        </w:rPr>
        <w:t>(</w:t>
      </w:r>
      <w:r w:rsidRPr="003272CB">
        <w:rPr>
          <w:rtl/>
        </w:rPr>
        <w:t>פ/2059/19</w:t>
      </w:r>
      <w:bookmarkEnd w:id="8"/>
      <w:r w:rsidR="00454C03" w:rsidRPr="003272CB">
        <w:rPr>
          <w:rFonts w:hint="cs"/>
          <w:rtl/>
        </w:rPr>
        <w:t>).</w:t>
      </w:r>
      <w:bookmarkStart w:id="9" w:name="_GoBack"/>
      <w:bookmarkEnd w:id="9"/>
    </w:p>
    <w:p w14:paraId="745C5A34" w14:textId="77777777" w:rsidR="00874032" w:rsidRPr="003272CB" w:rsidRDefault="00874032" w:rsidP="003272CB">
      <w:pPr>
        <w:pStyle w:val="Hesber"/>
        <w:rPr>
          <w:rtl/>
        </w:rPr>
      </w:pPr>
    </w:p>
    <w:p w14:paraId="7873CDBE" w14:textId="77777777" w:rsidR="00791813" w:rsidRDefault="00791813" w:rsidP="007D251B">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w:t>
      </w:r>
    </w:p>
    <w:p w14:paraId="0DA8EDCF" w14:textId="77777777" w:rsidR="00791813" w:rsidRDefault="00791813"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הוגשה ליו"ר הכנסת והסגנים</w:t>
      </w:r>
    </w:p>
    <w:p w14:paraId="24B7D460" w14:textId="77777777" w:rsidR="00791813" w:rsidRDefault="00791813"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והונחה על שולחן הכנסת ביום</w:t>
      </w:r>
    </w:p>
    <w:p w14:paraId="3B5B26DD" w14:textId="77777777" w:rsidR="00791813" w:rsidRDefault="00791813"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כ"א בסיוון </w:t>
      </w:r>
      <w:proofErr w:type="spellStart"/>
      <w:r>
        <w:rPr>
          <w:rFonts w:ascii="Arial" w:eastAsia="Arial Unicode MS" w:hAnsi="Arial" w:cs="David" w:hint="cs"/>
          <w:snapToGrid w:val="0"/>
          <w:spacing w:val="0"/>
          <w:sz w:val="20"/>
          <w:szCs w:val="26"/>
          <w:rtl/>
        </w:rPr>
        <w:t>התשע"ה</w:t>
      </w:r>
      <w:proofErr w:type="spellEnd"/>
      <w:r>
        <w:rPr>
          <w:rFonts w:ascii="Arial" w:eastAsia="Arial Unicode MS" w:hAnsi="Arial" w:cs="David" w:hint="cs"/>
          <w:snapToGrid w:val="0"/>
          <w:spacing w:val="0"/>
          <w:sz w:val="20"/>
          <w:szCs w:val="26"/>
          <w:rtl/>
        </w:rPr>
        <w:t xml:space="preserve"> – 8.6.15</w:t>
      </w:r>
    </w:p>
    <w:p w14:paraId="32EECAC5" w14:textId="77777777" w:rsidR="00791813" w:rsidRPr="004A4098" w:rsidRDefault="00791813" w:rsidP="00935520">
      <w:pPr>
        <w:ind w:left="340" w:firstLine="0"/>
        <w:rPr>
          <w:rFonts w:ascii="Arial" w:eastAsia="Arial Unicode MS" w:hAnsi="Arial" w:cs="David"/>
          <w:snapToGrid w:val="0"/>
          <w:spacing w:val="0"/>
          <w:sz w:val="20"/>
          <w:szCs w:val="26"/>
          <w:rtl/>
        </w:rPr>
      </w:pPr>
    </w:p>
    <w:p w14:paraId="0D3133CE" w14:textId="02BC9928" w:rsidR="00B81186" w:rsidRPr="00791813" w:rsidRDefault="00B81186" w:rsidP="00791813">
      <w:pPr>
        <w:spacing w:line="360" w:lineRule="auto"/>
        <w:rPr>
          <w:rtl/>
        </w:rPr>
      </w:pPr>
    </w:p>
    <w:sectPr w:rsidR="00B81186" w:rsidRPr="00791813"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8272B">
      <w:rPr>
        <w:rStyle w:val="ab"/>
        <w:noProof/>
        <w:rtl/>
      </w:rPr>
      <w:t>4</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15FD7740" w14:textId="77777777" w:rsidR="00874032" w:rsidRDefault="00874032" w:rsidP="00874032">
      <w:pPr>
        <w:pStyle w:val="a4"/>
      </w:pPr>
      <w:r>
        <w:rPr>
          <w:rStyle w:val="a6"/>
        </w:rPr>
        <w:footnoteRef/>
      </w:r>
      <w:r>
        <w:rPr>
          <w:rtl/>
        </w:rPr>
        <w:t xml:space="preserve"> </w:t>
      </w:r>
      <w:r>
        <w:rPr>
          <w:rFonts w:hint="cs"/>
          <w:rtl/>
        </w:rPr>
        <w:t xml:space="preserve">ס"ח </w:t>
      </w:r>
      <w:proofErr w:type="spellStart"/>
      <w:r>
        <w:rPr>
          <w:rFonts w:hint="cs"/>
          <w:rtl/>
        </w:rPr>
        <w:t>התשכ"ב</w:t>
      </w:r>
      <w:proofErr w:type="spellEnd"/>
      <w:r>
        <w:rPr>
          <w:rFonts w:hint="cs"/>
          <w:rtl/>
        </w:rPr>
        <w:t>, עמ' 120.</w:t>
      </w:r>
    </w:p>
  </w:footnote>
  <w:footnote w:id="3">
    <w:p w14:paraId="37D49D8E" w14:textId="77777777" w:rsidR="00874032" w:rsidRDefault="00874032" w:rsidP="00874032">
      <w:pPr>
        <w:pStyle w:val="a4"/>
        <w:jc w:val="both"/>
      </w:pPr>
      <w:r>
        <w:rPr>
          <w:rStyle w:val="a6"/>
        </w:rPr>
        <w:footnoteRef/>
      </w:r>
      <w:r>
        <w:rPr>
          <w:sz w:val="20"/>
          <w:rtl/>
        </w:rPr>
        <w:t xml:space="preserve"> </w:t>
      </w:r>
      <w:r>
        <w:rPr>
          <w:sz w:val="20"/>
          <w:rtl/>
        </w:rPr>
        <w:t xml:space="preserve">ס"ח </w:t>
      </w:r>
      <w:proofErr w:type="spellStart"/>
      <w:r>
        <w:rPr>
          <w:sz w:val="20"/>
          <w:rtl/>
        </w:rPr>
        <w:t>התש"ס</w:t>
      </w:r>
      <w:proofErr w:type="spellEnd"/>
      <w:r>
        <w:rPr>
          <w:sz w:val="20"/>
          <w:rtl/>
        </w:rPr>
        <w:t>, עמ' 190.</w:t>
      </w:r>
    </w:p>
  </w:footnote>
  <w:footnote w:id="4">
    <w:p w14:paraId="72AD191D" w14:textId="77777777" w:rsidR="00874032" w:rsidRDefault="00874032" w:rsidP="00874032">
      <w:pPr>
        <w:pStyle w:val="a4"/>
      </w:pPr>
      <w:r>
        <w:rPr>
          <w:rStyle w:val="a6"/>
        </w:rPr>
        <w:footnoteRef/>
      </w:r>
      <w:r>
        <w:rPr>
          <w:sz w:val="20"/>
          <w:rtl/>
        </w:rPr>
        <w:t xml:space="preserve"> </w:t>
      </w:r>
      <w:r>
        <w:rPr>
          <w:sz w:val="20"/>
          <w:rtl/>
        </w:rPr>
        <w:t xml:space="preserve">ס"ח </w:t>
      </w:r>
      <w:proofErr w:type="spellStart"/>
      <w:r>
        <w:rPr>
          <w:sz w:val="20"/>
          <w:rtl/>
        </w:rPr>
        <w:t>התשכ"ח</w:t>
      </w:r>
      <w:proofErr w:type="spellEnd"/>
      <w:r>
        <w:rPr>
          <w:sz w:val="20"/>
          <w:rtl/>
        </w:rPr>
        <w:t>, עמ' 234.</w:t>
      </w:r>
    </w:p>
  </w:footnote>
  <w:footnote w:id="5">
    <w:p w14:paraId="75A96724" w14:textId="77777777" w:rsidR="00874032" w:rsidRDefault="00874032" w:rsidP="00874032">
      <w:pPr>
        <w:pStyle w:val="a4"/>
      </w:pPr>
      <w:r>
        <w:rPr>
          <w:rStyle w:val="a6"/>
        </w:rPr>
        <w:footnoteRef/>
      </w:r>
      <w:r>
        <w:rPr>
          <w:rtl/>
        </w:rPr>
        <w:t xml:space="preserve"> </w:t>
      </w:r>
      <w:r>
        <w:rPr>
          <w:rtl/>
        </w:rPr>
        <w:t xml:space="preserve">ס"ח </w:t>
      </w:r>
      <w:proofErr w:type="spellStart"/>
      <w:r>
        <w:rPr>
          <w:rtl/>
        </w:rPr>
        <w:t>התשכ"</w:t>
      </w:r>
      <w:r>
        <w:rPr>
          <w:rFonts w:hint="cs"/>
          <w:rtl/>
        </w:rPr>
        <w:t>ח</w:t>
      </w:r>
      <w:proofErr w:type="spellEnd"/>
      <w:r>
        <w:rPr>
          <w:rtl/>
        </w:rPr>
        <w:t>, עמ' 184.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0D506A"/>
    <w:rsid w:val="00102B6B"/>
    <w:rsid w:val="001052D4"/>
    <w:rsid w:val="0010644B"/>
    <w:rsid w:val="001207F8"/>
    <w:rsid w:val="00121924"/>
    <w:rsid w:val="001279A8"/>
    <w:rsid w:val="0014195F"/>
    <w:rsid w:val="00152609"/>
    <w:rsid w:val="00153E1B"/>
    <w:rsid w:val="001A0623"/>
    <w:rsid w:val="001C23B0"/>
    <w:rsid w:val="00203A7F"/>
    <w:rsid w:val="002200A1"/>
    <w:rsid w:val="002362BF"/>
    <w:rsid w:val="00241B97"/>
    <w:rsid w:val="00246756"/>
    <w:rsid w:val="00251E58"/>
    <w:rsid w:val="00254605"/>
    <w:rsid w:val="002728B4"/>
    <w:rsid w:val="0027600C"/>
    <w:rsid w:val="0028272B"/>
    <w:rsid w:val="00292712"/>
    <w:rsid w:val="002A487D"/>
    <w:rsid w:val="002C2E29"/>
    <w:rsid w:val="002D1EE3"/>
    <w:rsid w:val="002F1D80"/>
    <w:rsid w:val="003232A2"/>
    <w:rsid w:val="00325C14"/>
    <w:rsid w:val="003272CB"/>
    <w:rsid w:val="003710F6"/>
    <w:rsid w:val="00386E88"/>
    <w:rsid w:val="00396585"/>
    <w:rsid w:val="003D74A0"/>
    <w:rsid w:val="004033D8"/>
    <w:rsid w:val="004073F0"/>
    <w:rsid w:val="00412A7D"/>
    <w:rsid w:val="00416B4D"/>
    <w:rsid w:val="00417CFC"/>
    <w:rsid w:val="00454C03"/>
    <w:rsid w:val="004B24ED"/>
    <w:rsid w:val="004D2D82"/>
    <w:rsid w:val="004D3876"/>
    <w:rsid w:val="004E4552"/>
    <w:rsid w:val="00553C9D"/>
    <w:rsid w:val="00562A66"/>
    <w:rsid w:val="005B064E"/>
    <w:rsid w:val="005D51AE"/>
    <w:rsid w:val="0062674B"/>
    <w:rsid w:val="006363B2"/>
    <w:rsid w:val="00644940"/>
    <w:rsid w:val="006818A9"/>
    <w:rsid w:val="006A2D81"/>
    <w:rsid w:val="006C1D0D"/>
    <w:rsid w:val="0070601E"/>
    <w:rsid w:val="00707019"/>
    <w:rsid w:val="00712C72"/>
    <w:rsid w:val="00735FE9"/>
    <w:rsid w:val="00763CAA"/>
    <w:rsid w:val="00765F66"/>
    <w:rsid w:val="00791813"/>
    <w:rsid w:val="007A665C"/>
    <w:rsid w:val="007C3FA6"/>
    <w:rsid w:val="007D585A"/>
    <w:rsid w:val="007D5A12"/>
    <w:rsid w:val="007E59F9"/>
    <w:rsid w:val="00810BCD"/>
    <w:rsid w:val="00812C98"/>
    <w:rsid w:val="00814D92"/>
    <w:rsid w:val="0083181D"/>
    <w:rsid w:val="00874032"/>
    <w:rsid w:val="00874BBC"/>
    <w:rsid w:val="00892135"/>
    <w:rsid w:val="00895449"/>
    <w:rsid w:val="00897879"/>
    <w:rsid w:val="008A611B"/>
    <w:rsid w:val="008A6870"/>
    <w:rsid w:val="008C2DDC"/>
    <w:rsid w:val="008C7516"/>
    <w:rsid w:val="008E6EC7"/>
    <w:rsid w:val="008F0D63"/>
    <w:rsid w:val="008F2C35"/>
    <w:rsid w:val="008F6665"/>
    <w:rsid w:val="0091204F"/>
    <w:rsid w:val="009203DB"/>
    <w:rsid w:val="00923CD4"/>
    <w:rsid w:val="00943386"/>
    <w:rsid w:val="009456B6"/>
    <w:rsid w:val="00957589"/>
    <w:rsid w:val="00966D06"/>
    <w:rsid w:val="00982412"/>
    <w:rsid w:val="00983A8D"/>
    <w:rsid w:val="009A7257"/>
    <w:rsid w:val="009D6E0A"/>
    <w:rsid w:val="00A14672"/>
    <w:rsid w:val="00A26BD6"/>
    <w:rsid w:val="00A443CF"/>
    <w:rsid w:val="00A6611D"/>
    <w:rsid w:val="00A82CB7"/>
    <w:rsid w:val="00AA2F03"/>
    <w:rsid w:val="00AC36F7"/>
    <w:rsid w:val="00AC63A4"/>
    <w:rsid w:val="00AD239E"/>
    <w:rsid w:val="00B10265"/>
    <w:rsid w:val="00B21211"/>
    <w:rsid w:val="00B35784"/>
    <w:rsid w:val="00B733A7"/>
    <w:rsid w:val="00B81186"/>
    <w:rsid w:val="00B975AD"/>
    <w:rsid w:val="00BC45FB"/>
    <w:rsid w:val="00BF148D"/>
    <w:rsid w:val="00C23B1A"/>
    <w:rsid w:val="00C310EB"/>
    <w:rsid w:val="00C9176A"/>
    <w:rsid w:val="00CF1AA2"/>
    <w:rsid w:val="00D63620"/>
    <w:rsid w:val="00D8410D"/>
    <w:rsid w:val="00D867D7"/>
    <w:rsid w:val="00D87069"/>
    <w:rsid w:val="00DB7060"/>
    <w:rsid w:val="00DE3153"/>
    <w:rsid w:val="00E06736"/>
    <w:rsid w:val="00E13C27"/>
    <w:rsid w:val="00E33BBD"/>
    <w:rsid w:val="00E45103"/>
    <w:rsid w:val="00E665B9"/>
    <w:rsid w:val="00EA01E6"/>
    <w:rsid w:val="00EA3BA3"/>
    <w:rsid w:val="00EA3DE8"/>
    <w:rsid w:val="00EA758F"/>
    <w:rsid w:val="00ED4677"/>
    <w:rsid w:val="00ED4A6F"/>
    <w:rsid w:val="00EF3A3A"/>
    <w:rsid w:val="00F14F72"/>
    <w:rsid w:val="00F366E6"/>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A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A3BA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A3BA3"/>
    <w:rPr>
      <w:sz w:val="36"/>
      <w:szCs w:val="52"/>
    </w:rPr>
  </w:style>
  <w:style w:type="paragraph" w:customStyle="1" w:styleId="Cover3-Haknesset">
    <w:name w:val="Cover 3-Haknesset"/>
    <w:basedOn w:val="Cover1-Reshumot"/>
    <w:rsid w:val="00EA3BA3"/>
    <w:rPr>
      <w:b/>
      <w:bCs/>
      <w:spacing w:val="60"/>
    </w:rPr>
  </w:style>
  <w:style w:type="paragraph" w:customStyle="1" w:styleId="Cover4-Date">
    <w:name w:val="Cover 4-Date"/>
    <w:basedOn w:val="a"/>
    <w:rsid w:val="00EA3BA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EA3BA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EA3BA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EA3BA3"/>
    <w:pPr>
      <w:spacing w:before="120" w:after="120"/>
    </w:pPr>
    <w:rPr>
      <w:color w:val="FF0000"/>
      <w:w w:val="80"/>
    </w:rPr>
  </w:style>
  <w:style w:type="paragraph" w:styleId="a3">
    <w:name w:val="endnote text"/>
    <w:basedOn w:val="a"/>
    <w:semiHidden/>
    <w:rsid w:val="00EA3BA3"/>
    <w:pPr>
      <w:ind w:left="227" w:hanging="227"/>
    </w:pPr>
    <w:rPr>
      <w:sz w:val="14"/>
      <w:szCs w:val="22"/>
    </w:rPr>
  </w:style>
  <w:style w:type="paragraph" w:customStyle="1" w:styleId="TableText">
    <w:name w:val="Table Text"/>
    <w:basedOn w:val="a"/>
    <w:rsid w:val="00EA3BA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A3BA3"/>
  </w:style>
  <w:style w:type="paragraph" w:customStyle="1" w:styleId="TableBlock">
    <w:name w:val="Table Block"/>
    <w:basedOn w:val="TableText"/>
    <w:rsid w:val="00EA3BA3"/>
    <w:pPr>
      <w:ind w:right="0"/>
      <w:jc w:val="both"/>
    </w:pPr>
  </w:style>
  <w:style w:type="paragraph" w:customStyle="1" w:styleId="TableHead">
    <w:name w:val="Table Head"/>
    <w:basedOn w:val="TableText"/>
    <w:rsid w:val="00EA3BA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EA3BA3"/>
  </w:style>
  <w:style w:type="paragraph" w:customStyle="1" w:styleId="Hesber">
    <w:name w:val="Hesber"/>
    <w:basedOn w:val="a"/>
    <w:rsid w:val="00EA3BA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EA3BA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EA3BA3"/>
    <w:rPr>
      <w:vertAlign w:val="superscript"/>
    </w:rPr>
  </w:style>
  <w:style w:type="paragraph" w:customStyle="1" w:styleId="HesberHeading">
    <w:name w:val="Hesber Heading"/>
    <w:basedOn w:val="Hesber"/>
    <w:rsid w:val="00EA3BA3"/>
    <w:pPr>
      <w:tabs>
        <w:tab w:val="left" w:pos="624"/>
        <w:tab w:val="left" w:pos="1247"/>
      </w:tabs>
      <w:ind w:firstLine="0"/>
    </w:pPr>
    <w:rPr>
      <w:b/>
      <w:bCs/>
    </w:rPr>
  </w:style>
  <w:style w:type="paragraph" w:customStyle="1" w:styleId="HesberWriters">
    <w:name w:val="Hesber Writers"/>
    <w:basedOn w:val="Hesber"/>
    <w:rsid w:val="00EA3BA3"/>
    <w:pPr>
      <w:spacing w:before="120" w:after="6000"/>
      <w:ind w:left="1418" w:firstLine="0"/>
      <w:jc w:val="right"/>
    </w:pPr>
    <w:rPr>
      <w:b/>
      <w:bCs/>
    </w:rPr>
  </w:style>
  <w:style w:type="paragraph" w:customStyle="1" w:styleId="Hesber1st">
    <w:name w:val="Hesber 1st"/>
    <w:basedOn w:val="Hesber"/>
    <w:rsid w:val="00EA3BA3"/>
    <w:pPr>
      <w:tabs>
        <w:tab w:val="left" w:pos="680"/>
        <w:tab w:val="left" w:pos="1020"/>
      </w:tabs>
      <w:ind w:firstLine="0"/>
    </w:pPr>
  </w:style>
  <w:style w:type="character" w:styleId="a7">
    <w:name w:val="endnote reference"/>
    <w:basedOn w:val="a0"/>
    <w:semiHidden/>
    <w:rsid w:val="00EA3BA3"/>
    <w:rPr>
      <w:vertAlign w:val="superscript"/>
    </w:rPr>
  </w:style>
  <w:style w:type="paragraph" w:customStyle="1" w:styleId="TableBlockOutdent">
    <w:name w:val="Table BlockOutdent"/>
    <w:basedOn w:val="TableBlock"/>
    <w:rsid w:val="00EA3BA3"/>
    <w:pPr>
      <w:ind w:left="624" w:hanging="624"/>
    </w:pPr>
  </w:style>
  <w:style w:type="paragraph" w:styleId="a8">
    <w:name w:val="header"/>
    <w:basedOn w:val="a"/>
    <w:rsid w:val="00EA3BA3"/>
    <w:pPr>
      <w:tabs>
        <w:tab w:val="center" w:pos="4153"/>
        <w:tab w:val="right" w:pos="8306"/>
      </w:tabs>
    </w:pPr>
  </w:style>
  <w:style w:type="paragraph" w:styleId="a9">
    <w:name w:val="footer"/>
    <w:basedOn w:val="a"/>
    <w:rsid w:val="00EA3BA3"/>
    <w:pPr>
      <w:tabs>
        <w:tab w:val="center" w:pos="4153"/>
        <w:tab w:val="right" w:pos="8306"/>
      </w:tabs>
    </w:pPr>
  </w:style>
  <w:style w:type="paragraph" w:customStyle="1" w:styleId="HeadDivreiHesber">
    <w:name w:val="Head DivreiHesber"/>
    <w:basedOn w:val="a"/>
    <w:rsid w:val="00EA3BA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EA3BA3"/>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EA3BA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semiHidden/>
    <w:locked/>
    <w:rsid w:val="00874032"/>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A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A3BA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A3BA3"/>
    <w:rPr>
      <w:sz w:val="36"/>
      <w:szCs w:val="52"/>
    </w:rPr>
  </w:style>
  <w:style w:type="paragraph" w:customStyle="1" w:styleId="Cover3-Haknesset">
    <w:name w:val="Cover 3-Haknesset"/>
    <w:basedOn w:val="Cover1-Reshumot"/>
    <w:rsid w:val="00EA3BA3"/>
    <w:rPr>
      <w:b/>
      <w:bCs/>
      <w:spacing w:val="60"/>
    </w:rPr>
  </w:style>
  <w:style w:type="paragraph" w:customStyle="1" w:styleId="Cover4-Date">
    <w:name w:val="Cover 4-Date"/>
    <w:basedOn w:val="a"/>
    <w:rsid w:val="00EA3BA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EA3BA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EA3BA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EA3BA3"/>
    <w:pPr>
      <w:spacing w:before="120" w:after="120"/>
    </w:pPr>
    <w:rPr>
      <w:color w:val="FF0000"/>
      <w:w w:val="80"/>
    </w:rPr>
  </w:style>
  <w:style w:type="paragraph" w:styleId="a3">
    <w:name w:val="endnote text"/>
    <w:basedOn w:val="a"/>
    <w:semiHidden/>
    <w:rsid w:val="00EA3BA3"/>
    <w:pPr>
      <w:ind w:left="227" w:hanging="227"/>
    </w:pPr>
    <w:rPr>
      <w:sz w:val="14"/>
      <w:szCs w:val="22"/>
    </w:rPr>
  </w:style>
  <w:style w:type="paragraph" w:customStyle="1" w:styleId="TableText">
    <w:name w:val="Table Text"/>
    <w:basedOn w:val="a"/>
    <w:rsid w:val="00EA3BA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A3BA3"/>
  </w:style>
  <w:style w:type="paragraph" w:customStyle="1" w:styleId="TableBlock">
    <w:name w:val="Table Block"/>
    <w:basedOn w:val="TableText"/>
    <w:rsid w:val="00EA3BA3"/>
    <w:pPr>
      <w:ind w:right="0"/>
      <w:jc w:val="both"/>
    </w:pPr>
  </w:style>
  <w:style w:type="paragraph" w:customStyle="1" w:styleId="TableHead">
    <w:name w:val="Table Head"/>
    <w:basedOn w:val="TableText"/>
    <w:rsid w:val="00EA3BA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EA3BA3"/>
  </w:style>
  <w:style w:type="paragraph" w:customStyle="1" w:styleId="Hesber">
    <w:name w:val="Hesber"/>
    <w:basedOn w:val="a"/>
    <w:rsid w:val="00EA3BA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EA3BA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EA3BA3"/>
    <w:rPr>
      <w:vertAlign w:val="superscript"/>
    </w:rPr>
  </w:style>
  <w:style w:type="paragraph" w:customStyle="1" w:styleId="HesberHeading">
    <w:name w:val="Hesber Heading"/>
    <w:basedOn w:val="Hesber"/>
    <w:rsid w:val="00EA3BA3"/>
    <w:pPr>
      <w:tabs>
        <w:tab w:val="left" w:pos="624"/>
        <w:tab w:val="left" w:pos="1247"/>
      </w:tabs>
      <w:ind w:firstLine="0"/>
    </w:pPr>
    <w:rPr>
      <w:b/>
      <w:bCs/>
    </w:rPr>
  </w:style>
  <w:style w:type="paragraph" w:customStyle="1" w:styleId="HesberWriters">
    <w:name w:val="Hesber Writers"/>
    <w:basedOn w:val="Hesber"/>
    <w:rsid w:val="00EA3BA3"/>
    <w:pPr>
      <w:spacing w:before="120" w:after="6000"/>
      <w:ind w:left="1418" w:firstLine="0"/>
      <w:jc w:val="right"/>
    </w:pPr>
    <w:rPr>
      <w:b/>
      <w:bCs/>
    </w:rPr>
  </w:style>
  <w:style w:type="paragraph" w:customStyle="1" w:styleId="Hesber1st">
    <w:name w:val="Hesber 1st"/>
    <w:basedOn w:val="Hesber"/>
    <w:rsid w:val="00EA3BA3"/>
    <w:pPr>
      <w:tabs>
        <w:tab w:val="left" w:pos="680"/>
        <w:tab w:val="left" w:pos="1020"/>
      </w:tabs>
      <w:ind w:firstLine="0"/>
    </w:pPr>
  </w:style>
  <w:style w:type="character" w:styleId="a7">
    <w:name w:val="endnote reference"/>
    <w:basedOn w:val="a0"/>
    <w:semiHidden/>
    <w:rsid w:val="00EA3BA3"/>
    <w:rPr>
      <w:vertAlign w:val="superscript"/>
    </w:rPr>
  </w:style>
  <w:style w:type="paragraph" w:customStyle="1" w:styleId="TableBlockOutdent">
    <w:name w:val="Table BlockOutdent"/>
    <w:basedOn w:val="TableBlock"/>
    <w:rsid w:val="00EA3BA3"/>
    <w:pPr>
      <w:ind w:left="624" w:hanging="624"/>
    </w:pPr>
  </w:style>
  <w:style w:type="paragraph" w:styleId="a8">
    <w:name w:val="header"/>
    <w:basedOn w:val="a"/>
    <w:rsid w:val="00EA3BA3"/>
    <w:pPr>
      <w:tabs>
        <w:tab w:val="center" w:pos="4153"/>
        <w:tab w:val="right" w:pos="8306"/>
      </w:tabs>
    </w:pPr>
  </w:style>
  <w:style w:type="paragraph" w:styleId="a9">
    <w:name w:val="footer"/>
    <w:basedOn w:val="a"/>
    <w:rsid w:val="00EA3BA3"/>
    <w:pPr>
      <w:tabs>
        <w:tab w:val="center" w:pos="4153"/>
        <w:tab w:val="right" w:pos="8306"/>
      </w:tabs>
    </w:pPr>
  </w:style>
  <w:style w:type="paragraph" w:customStyle="1" w:styleId="HeadDivreiHesber">
    <w:name w:val="Head DivreiHesber"/>
    <w:basedOn w:val="a"/>
    <w:rsid w:val="00EA3BA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EA3BA3"/>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EA3BA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semiHidden/>
    <w:locked/>
    <w:rsid w:val="00874032"/>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2415-A5FE-40D1-9AF5-3B0C2C9F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430CAD1-D563-41A6-94E3-9A98D6C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1151</Words>
  <Characters>5321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תהל טהר לב</cp:lastModifiedBy>
  <cp:revision>25</cp:revision>
  <cp:lastPrinted>2013-07-04T08:25:00Z</cp:lastPrinted>
  <dcterms:created xsi:type="dcterms:W3CDTF">2015-03-26T08:06:00Z</dcterms:created>
  <dcterms:modified xsi:type="dcterms:W3CDTF">2015-06-04T10:41:00Z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564206</vt:r8>
  </property>
</Properties>
</file>