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2074873</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עודד פורר</w:t>
      </w:r>
      <w:r>
        <w:br/>
      </w:r>
      <w:r>
        <w:rPr>
          <w:rFonts w:hint="cs"/>
          <w:b/>
          <w:bCs/>
          <w:rtl/>
        </w:rPr>
        <w:t xml:space="preserve"> </w:t>
      </w:r>
      <w:r>
        <w:tab/>
      </w:r>
      <w:r>
        <w:tab/>
      </w:r>
      <w:r>
        <w:tab/>
      </w:r>
      <w:r>
        <w:tab/>
      </w:r>
      <w:r>
        <w:rPr>
          <w:rFonts w:hint="cs"/>
          <w:b/>
          <w:bCs/>
          <w:rtl/>
        </w:rPr>
        <w:t>חמד עמאר</w:t>
      </w:r>
      <w:r>
        <w:br/>
      </w:r>
      <w:r>
        <w:rPr>
          <w:rFonts w:hint="cs"/>
          <w:b/>
          <w:bCs/>
          <w:rtl/>
        </w:rPr>
        <w:t xml:space="preserve"> </w:t>
      </w:r>
      <w:r>
        <w:tab/>
      </w:r>
      <w:r>
        <w:tab/>
      </w:r>
      <w:r>
        <w:tab/>
      </w:r>
      <w:r>
        <w:tab/>
      </w:r>
      <w:r>
        <w:rPr>
          <w:rFonts w:hint="cs"/>
          <w:b/>
          <w:bCs/>
          <w:rtl/>
        </w:rPr>
        <w:t>רוברט אילטוב</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פ/5785/20</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21633A">
      <w:pPr>
        <w:pStyle w:val="HeadHatzaotHok"/>
        <w:rPr>
          <w:rtl/>
        </w:rPr>
      </w:pPr>
      <w:bookmarkStart w:id="7" w:name="LGS_Subject"/>
      <w:r>
        <w:rPr>
          <w:rFonts w:hint="cs"/>
          <w:rtl/>
        </w:rPr>
        <w:t>הצעת חוק לתיקון פקודת הרוקחים (כתב ברייל), התשע"ט–2018</w:t>
      </w:r>
      <w:bookmarkEnd w:id="7"/>
    </w:p>
    <w:tbl>
      <w:tblPr>
        <w:bidiVisual/>
        <w:tblW w:w="0" w:type="auto"/>
        <w:tblCellMar>
          <w:top w:w="57" w:type="dxa"/>
          <w:left w:w="0" w:type="dxa"/>
          <w:bottom w:w="57" w:type="dxa"/>
          <w:right w:w="0" w:type="dxa"/>
        </w:tblCellMar>
        <w:tblLook w:val="0000" w:firstRow="0" w:lastRow="0" w:firstColumn="0" w:lastColumn="0" w:noHBand="0" w:noVBand="0"/>
      </w:tblPr>
      <w:tblGrid>
        <w:gridCol w:w="1870"/>
        <w:gridCol w:w="624"/>
        <w:gridCol w:w="7145"/>
      </w:tblGrid>
      <w:tr w:rsidR="00B05548" w:rsidRPr="003A4BB1" w14:paraId="617AF46E" w14:textId="77777777" w:rsidTr="00343EAF">
        <w:trPr>
          <w:cantSplit/>
        </w:trPr>
        <w:tc>
          <w:tcPr>
            <w:tcW w:w="1870" w:type="dxa"/>
            <w:tcBorders>
              <w:top w:val="nil"/>
              <w:left w:val="nil"/>
              <w:bottom w:val="nil"/>
              <w:right w:val="nil"/>
            </w:tcBorders>
          </w:tcPr>
          <w:p w14:paraId="73BA8E2B" w14:textId="77777777" w:rsidR="00B05548" w:rsidRPr="003A4BB1" w:rsidRDefault="00B05548" w:rsidP="00516A3C">
            <w:pPr>
              <w:pStyle w:val="TableSideHeading"/>
              <w:ind w:right="0"/>
              <w:rPr>
                <w:rtl/>
              </w:rPr>
            </w:pPr>
            <w:r w:rsidRPr="003A4BB1">
              <w:rPr>
                <w:rtl/>
              </w:rPr>
              <w:t>תיקון סעיף</w:t>
            </w:r>
            <w:r>
              <w:rPr>
                <w:rFonts w:hint="cs"/>
                <w:rtl/>
              </w:rPr>
              <w:t xml:space="preserve"> 30</w:t>
            </w:r>
          </w:p>
        </w:tc>
        <w:tc>
          <w:tcPr>
            <w:tcW w:w="624" w:type="dxa"/>
            <w:tcBorders>
              <w:top w:val="nil"/>
              <w:left w:val="nil"/>
              <w:bottom w:val="nil"/>
              <w:right w:val="nil"/>
            </w:tcBorders>
          </w:tcPr>
          <w:p w14:paraId="56ECEC66" w14:textId="77777777" w:rsidR="00B05548" w:rsidRPr="003A4BB1" w:rsidRDefault="00B05548" w:rsidP="00516A3C">
            <w:pPr>
              <w:pStyle w:val="TableText"/>
              <w:ind w:right="0"/>
              <w:jc w:val="both"/>
            </w:pPr>
            <w:r w:rsidRPr="003A4BB1">
              <w:rPr>
                <w:rtl/>
              </w:rPr>
              <w:t>1.</w:t>
            </w:r>
          </w:p>
        </w:tc>
        <w:tc>
          <w:tcPr>
            <w:tcW w:w="7145" w:type="dxa"/>
            <w:tcBorders>
              <w:top w:val="nil"/>
              <w:left w:val="nil"/>
              <w:bottom w:val="nil"/>
              <w:right w:val="nil"/>
            </w:tcBorders>
          </w:tcPr>
          <w:p w14:paraId="5A35EABB" w14:textId="35979CA0" w:rsidR="00B05548" w:rsidRPr="003A4BB1" w:rsidRDefault="00B05548" w:rsidP="00AA5A2F">
            <w:pPr>
              <w:pStyle w:val="TableBlock"/>
              <w:rPr>
                <w:rtl/>
              </w:rPr>
            </w:pPr>
            <w:r w:rsidRPr="003A4BB1">
              <w:rPr>
                <w:rtl/>
              </w:rPr>
              <w:t>ב</w:t>
            </w:r>
            <w:r>
              <w:rPr>
                <w:rFonts w:hint="cs"/>
                <w:rtl/>
              </w:rPr>
              <w:t>פ</w:t>
            </w:r>
            <w:r w:rsidRPr="003A4BB1">
              <w:rPr>
                <w:rFonts w:hint="cs"/>
                <w:rtl/>
              </w:rPr>
              <w:t>קודת הרוקחים</w:t>
            </w:r>
            <w:r>
              <w:rPr>
                <w:rFonts w:hint="cs"/>
                <w:rtl/>
              </w:rPr>
              <w:t xml:space="preserve"> [נוסח חדש]</w:t>
            </w:r>
            <w:r w:rsidRPr="003A4BB1">
              <w:rPr>
                <w:rtl/>
              </w:rPr>
              <w:t>, התשמ"</w:t>
            </w:r>
            <w:r w:rsidRPr="003A4BB1">
              <w:rPr>
                <w:rFonts w:hint="cs"/>
                <w:rtl/>
              </w:rPr>
              <w:t>א</w:t>
            </w:r>
            <w:r w:rsidRPr="003A4BB1">
              <w:rPr>
                <w:rtl/>
              </w:rPr>
              <w:t>–198</w:t>
            </w:r>
            <w:r w:rsidRPr="003A4BB1">
              <w:rPr>
                <w:rFonts w:hint="cs"/>
                <w:rtl/>
              </w:rPr>
              <w:t>1</w:t>
            </w:r>
            <w:r>
              <w:rPr>
                <w:rStyle w:val="a5"/>
                <w:rtl/>
              </w:rPr>
              <w:footnoteReference w:id="2"/>
            </w:r>
            <w:r w:rsidRPr="003A4BB1">
              <w:rPr>
                <w:rtl/>
              </w:rPr>
              <w:t xml:space="preserve">, בסעיף </w:t>
            </w:r>
            <w:r>
              <w:rPr>
                <w:rFonts w:hint="cs"/>
                <w:rtl/>
              </w:rPr>
              <w:t>30</w:t>
            </w:r>
            <w:r w:rsidR="009861EF">
              <w:rPr>
                <w:rFonts w:hint="cs"/>
                <w:rtl/>
              </w:rPr>
              <w:t xml:space="preserve"> </w:t>
            </w:r>
            <w:r w:rsidR="00AA5A2F">
              <w:rPr>
                <w:rFonts w:hint="eastAsia"/>
                <w:rtl/>
              </w:rPr>
              <w:t>–</w:t>
            </w:r>
          </w:p>
        </w:tc>
      </w:tr>
      <w:tr w:rsidR="009861EF" w:rsidRPr="003A4BB1" w14:paraId="14B97F15" w14:textId="77777777" w:rsidTr="00343EAF">
        <w:trPr>
          <w:cantSplit/>
        </w:trPr>
        <w:tc>
          <w:tcPr>
            <w:tcW w:w="1870" w:type="dxa"/>
            <w:tcBorders>
              <w:top w:val="nil"/>
              <w:left w:val="nil"/>
              <w:bottom w:val="nil"/>
              <w:right w:val="nil"/>
            </w:tcBorders>
          </w:tcPr>
          <w:p w14:paraId="4717B2F0" w14:textId="77777777" w:rsidR="009861EF" w:rsidRPr="003A4BB1" w:rsidRDefault="009861EF" w:rsidP="00516A3C">
            <w:pPr>
              <w:pStyle w:val="TableSideHeading"/>
              <w:ind w:right="0"/>
              <w:rPr>
                <w:rtl/>
              </w:rPr>
            </w:pPr>
          </w:p>
        </w:tc>
        <w:tc>
          <w:tcPr>
            <w:tcW w:w="624" w:type="dxa"/>
            <w:tcBorders>
              <w:top w:val="nil"/>
              <w:left w:val="nil"/>
              <w:bottom w:val="nil"/>
              <w:right w:val="nil"/>
            </w:tcBorders>
          </w:tcPr>
          <w:p w14:paraId="73387687" w14:textId="77777777" w:rsidR="009861EF" w:rsidRPr="003A4BB1" w:rsidRDefault="009861EF" w:rsidP="00516A3C">
            <w:pPr>
              <w:pStyle w:val="TableText"/>
              <w:ind w:right="0"/>
              <w:jc w:val="both"/>
              <w:rPr>
                <w:rtl/>
              </w:rPr>
            </w:pPr>
          </w:p>
        </w:tc>
        <w:tc>
          <w:tcPr>
            <w:tcW w:w="7145" w:type="dxa"/>
            <w:tcBorders>
              <w:top w:val="nil"/>
              <w:left w:val="nil"/>
              <w:bottom w:val="nil"/>
              <w:right w:val="nil"/>
            </w:tcBorders>
          </w:tcPr>
          <w:p w14:paraId="582814F9" w14:textId="28BB30C5" w:rsidR="009861EF" w:rsidRPr="003A4BB1" w:rsidRDefault="009861EF" w:rsidP="00DB7CE1">
            <w:pPr>
              <w:pStyle w:val="TableBlock"/>
              <w:rPr>
                <w:rtl/>
              </w:rPr>
            </w:pPr>
            <w:r>
              <w:rPr>
                <w:rFonts w:hint="cs"/>
                <w:rtl/>
              </w:rPr>
              <w:t>(1)</w:t>
            </w:r>
            <w:r>
              <w:rPr>
                <w:rtl/>
              </w:rPr>
              <w:tab/>
            </w:r>
            <w:r>
              <w:rPr>
                <w:rFonts w:hint="cs"/>
                <w:rtl/>
              </w:rPr>
              <w:t>בסעיף קטן (א1)(2), במקום "באנגלית וברוסית" יבוא "באנגלית, ברוסית ובכתב ברייל"</w:t>
            </w:r>
            <w:r w:rsidR="009906D2">
              <w:rPr>
                <w:rFonts w:hint="cs"/>
                <w:rtl/>
              </w:rPr>
              <w:t>;</w:t>
            </w:r>
          </w:p>
        </w:tc>
      </w:tr>
      <w:tr w:rsidR="009861EF" w:rsidRPr="003A4BB1" w14:paraId="342D7D4F" w14:textId="77777777" w:rsidTr="00343EAF">
        <w:trPr>
          <w:cantSplit/>
        </w:trPr>
        <w:tc>
          <w:tcPr>
            <w:tcW w:w="1870" w:type="dxa"/>
            <w:tcBorders>
              <w:top w:val="nil"/>
              <w:left w:val="nil"/>
              <w:bottom w:val="nil"/>
              <w:right w:val="nil"/>
            </w:tcBorders>
          </w:tcPr>
          <w:p w14:paraId="03546167" w14:textId="77777777" w:rsidR="009861EF" w:rsidRPr="003A4BB1" w:rsidRDefault="009861EF" w:rsidP="00516A3C">
            <w:pPr>
              <w:pStyle w:val="TableSideHeading"/>
              <w:ind w:right="0"/>
              <w:rPr>
                <w:rtl/>
              </w:rPr>
            </w:pPr>
          </w:p>
        </w:tc>
        <w:tc>
          <w:tcPr>
            <w:tcW w:w="624" w:type="dxa"/>
            <w:tcBorders>
              <w:top w:val="nil"/>
              <w:left w:val="nil"/>
              <w:bottom w:val="nil"/>
              <w:right w:val="nil"/>
            </w:tcBorders>
          </w:tcPr>
          <w:p w14:paraId="57296C7B" w14:textId="77777777" w:rsidR="009861EF" w:rsidRPr="003A4BB1" w:rsidRDefault="009861EF" w:rsidP="00516A3C">
            <w:pPr>
              <w:pStyle w:val="TableText"/>
              <w:ind w:right="0"/>
              <w:jc w:val="both"/>
              <w:rPr>
                <w:rtl/>
              </w:rPr>
            </w:pPr>
          </w:p>
        </w:tc>
        <w:tc>
          <w:tcPr>
            <w:tcW w:w="7145" w:type="dxa"/>
            <w:tcBorders>
              <w:top w:val="nil"/>
              <w:left w:val="nil"/>
              <w:bottom w:val="nil"/>
              <w:right w:val="nil"/>
            </w:tcBorders>
          </w:tcPr>
          <w:p w14:paraId="6B339023" w14:textId="304AAE83" w:rsidR="009861EF" w:rsidRPr="003A4BB1" w:rsidRDefault="009861EF" w:rsidP="00DB7CE1">
            <w:pPr>
              <w:pStyle w:val="TableBlock"/>
              <w:rPr>
                <w:rtl/>
              </w:rPr>
            </w:pPr>
            <w:r>
              <w:rPr>
                <w:rFonts w:hint="cs"/>
                <w:rtl/>
              </w:rPr>
              <w:t>(2)</w:t>
            </w:r>
            <w:r>
              <w:rPr>
                <w:rtl/>
              </w:rPr>
              <w:tab/>
            </w:r>
            <w:r>
              <w:rPr>
                <w:rFonts w:hint="cs"/>
                <w:rtl/>
              </w:rPr>
              <w:t>בסעיף קטן (א2), במקום "באנגלית</w:t>
            </w:r>
            <w:r w:rsidR="007A0DD7">
              <w:rPr>
                <w:rFonts w:hint="cs"/>
                <w:rtl/>
              </w:rPr>
              <w:t xml:space="preserve"> וברוסית" יבוא "</w:t>
            </w:r>
            <w:r>
              <w:rPr>
                <w:rFonts w:hint="cs"/>
                <w:rtl/>
              </w:rPr>
              <w:t>באנגלית, ברוסית ובכתב ברייל"</w:t>
            </w:r>
            <w:r w:rsidR="009906D2">
              <w:rPr>
                <w:rFonts w:hint="cs"/>
                <w:rtl/>
              </w:rPr>
              <w:t>.</w:t>
            </w:r>
          </w:p>
        </w:tc>
      </w:tr>
    </w:tbl>
    <w:p w14:paraId="7F6961AE" w14:textId="77777777" w:rsidR="00E13C27" w:rsidRDefault="00E13C27" w:rsidP="0021633A">
      <w:pPr>
        <w:pStyle w:val="HeadDivreiHesber"/>
        <w:spacing w:before="0" w:after="0"/>
        <w:rPr>
          <w:rtl/>
        </w:rPr>
      </w:pPr>
    </w:p>
    <w:p w14:paraId="7F6961CA" w14:textId="77777777" w:rsidR="002D1EE3" w:rsidRDefault="002D1EE3" w:rsidP="002D1EE3">
      <w:pPr>
        <w:pStyle w:val="HeadDivreiHesber"/>
        <w:rPr>
          <w:rtl/>
        </w:rPr>
      </w:pPr>
      <w:r w:rsidRPr="0027450A">
        <w:rPr>
          <w:rFonts w:hint="cs"/>
          <w:rtl/>
        </w:rPr>
        <w:t>דברי הסבר</w:t>
      </w:r>
    </w:p>
    <w:p w14:paraId="0C85E098" w14:textId="59293E41" w:rsidR="00B05548" w:rsidRPr="00B40FCD" w:rsidRDefault="00B05548" w:rsidP="009060DA">
      <w:pPr>
        <w:pStyle w:val="Hesber"/>
        <w:rPr>
          <w:rtl/>
        </w:rPr>
      </w:pPr>
      <w:r w:rsidRPr="00B40FCD">
        <w:rPr>
          <w:rtl/>
        </w:rPr>
        <w:t>ס</w:t>
      </w:r>
      <w:r w:rsidRPr="00B40FCD">
        <w:rPr>
          <w:rFonts w:hint="cs"/>
          <w:rtl/>
        </w:rPr>
        <w:t xml:space="preserve">עיף 30 לפקודת הרוקחים [נוסח חדש], התשמ"א–1981, </w:t>
      </w:r>
      <w:r w:rsidRPr="00B40FCD">
        <w:rPr>
          <w:rtl/>
        </w:rPr>
        <w:t xml:space="preserve">קובע </w:t>
      </w:r>
      <w:r w:rsidR="00343EAF">
        <w:rPr>
          <w:rFonts w:hint="cs"/>
          <w:rtl/>
        </w:rPr>
        <w:t>הוראות שונות לסימון כלים וארי</w:t>
      </w:r>
      <w:r w:rsidR="00AA5A2F">
        <w:rPr>
          <w:rFonts w:hint="cs"/>
          <w:rtl/>
        </w:rPr>
        <w:t>זות המכילים תכשיר,</w:t>
      </w:r>
      <w:r w:rsidRPr="00B40FCD">
        <w:rPr>
          <w:rtl/>
        </w:rPr>
        <w:t xml:space="preserve"> והוראות לשימוש</w:t>
      </w:r>
      <w:r w:rsidR="00A97330">
        <w:rPr>
          <w:rFonts w:hint="cs"/>
          <w:rtl/>
        </w:rPr>
        <w:t xml:space="preserve"> כפי ש</w:t>
      </w:r>
      <w:r w:rsidR="009861EF">
        <w:rPr>
          <w:rFonts w:hint="cs"/>
          <w:rtl/>
        </w:rPr>
        <w:t>י</w:t>
      </w:r>
      <w:r w:rsidR="00A97330">
        <w:rPr>
          <w:rFonts w:hint="cs"/>
          <w:rtl/>
        </w:rPr>
        <w:t>קבע השר</w:t>
      </w:r>
      <w:r w:rsidRPr="00B40FCD">
        <w:rPr>
          <w:rtl/>
        </w:rPr>
        <w:t xml:space="preserve">. עוד קובע הסעיף </w:t>
      </w:r>
      <w:r w:rsidR="00A97330">
        <w:rPr>
          <w:rFonts w:hint="cs"/>
          <w:rtl/>
        </w:rPr>
        <w:t>הוראות שונות הנוגעות ל</w:t>
      </w:r>
      <w:r w:rsidR="00C01C0B">
        <w:rPr>
          <w:rFonts w:hint="cs"/>
          <w:rtl/>
        </w:rPr>
        <w:t>סימון על</w:t>
      </w:r>
      <w:r w:rsidR="00A97330">
        <w:rPr>
          <w:rFonts w:hint="cs"/>
          <w:rtl/>
        </w:rPr>
        <w:t xml:space="preserve"> תכשיר בלא מרשם ו</w:t>
      </w:r>
      <w:r w:rsidR="00C01C0B">
        <w:rPr>
          <w:rFonts w:hint="cs"/>
          <w:rtl/>
        </w:rPr>
        <w:t>כן ע</w:t>
      </w:r>
      <w:r w:rsidR="00A97330">
        <w:rPr>
          <w:rFonts w:hint="cs"/>
          <w:rtl/>
        </w:rPr>
        <w:t>ל</w:t>
      </w:r>
      <w:r w:rsidR="00C01C0B">
        <w:rPr>
          <w:rFonts w:hint="cs"/>
          <w:rtl/>
        </w:rPr>
        <w:t xml:space="preserve"> </w:t>
      </w:r>
      <w:r w:rsidR="00A97330">
        <w:rPr>
          <w:rFonts w:hint="cs"/>
          <w:rtl/>
        </w:rPr>
        <w:t>תכשיר מרשם</w:t>
      </w:r>
      <w:r w:rsidR="009060DA">
        <w:rPr>
          <w:rFonts w:hint="cs"/>
          <w:rtl/>
        </w:rPr>
        <w:t>.</w:t>
      </w:r>
      <w:r w:rsidR="00AA5A2F">
        <w:rPr>
          <w:rFonts w:hint="cs"/>
          <w:rtl/>
        </w:rPr>
        <w:t xml:space="preserve"> בין היתר נקבע כי </w:t>
      </w:r>
      <w:r w:rsidR="00C01C0B">
        <w:rPr>
          <w:rFonts w:hint="cs"/>
          <w:rtl/>
        </w:rPr>
        <w:t xml:space="preserve">סימון </w:t>
      </w:r>
      <w:r w:rsidRPr="00B40FCD">
        <w:rPr>
          <w:rtl/>
        </w:rPr>
        <w:t>שם התכשיר, ולגבי תכשיר שמצורף לו עלון לצרכן – גם המילים "יש לעיין בעלון לצרכן לפני השימוש",</w:t>
      </w:r>
      <w:r w:rsidR="00AA5A2F">
        <w:rPr>
          <w:rFonts w:hint="cs"/>
          <w:rtl/>
        </w:rPr>
        <w:t xml:space="preserve"> </w:t>
      </w:r>
      <w:r w:rsidR="00AA5A2F" w:rsidRPr="00B40FCD">
        <w:rPr>
          <w:rtl/>
        </w:rPr>
        <w:t>י</w:t>
      </w:r>
      <w:r w:rsidR="00C01C0B">
        <w:rPr>
          <w:rFonts w:hint="cs"/>
          <w:rtl/>
        </w:rPr>
        <w:t xml:space="preserve">היה </w:t>
      </w:r>
      <w:r w:rsidR="00AA5A2F" w:rsidRPr="00B40FCD">
        <w:rPr>
          <w:rtl/>
        </w:rPr>
        <w:t>בעברית,</w:t>
      </w:r>
      <w:r w:rsidR="00C01C0B">
        <w:rPr>
          <w:rFonts w:hint="cs"/>
          <w:rtl/>
        </w:rPr>
        <w:t xml:space="preserve"> </w:t>
      </w:r>
      <w:r w:rsidR="00AA5A2F" w:rsidRPr="00B40FCD">
        <w:rPr>
          <w:rtl/>
        </w:rPr>
        <w:t>בערבית</w:t>
      </w:r>
      <w:r w:rsidR="009906D2">
        <w:rPr>
          <w:rFonts w:hint="cs"/>
          <w:rtl/>
        </w:rPr>
        <w:t>,</w:t>
      </w:r>
      <w:r w:rsidR="00AA5A2F" w:rsidRPr="00B40FCD">
        <w:rPr>
          <w:rtl/>
        </w:rPr>
        <w:t xml:space="preserve"> באנגלית וברוסית, </w:t>
      </w:r>
      <w:r w:rsidR="009060DA">
        <w:rPr>
          <w:rFonts w:hint="cs"/>
          <w:rtl/>
        </w:rPr>
        <w:t>כדי</w:t>
      </w:r>
      <w:r w:rsidRPr="00B40FCD">
        <w:rPr>
          <w:rFonts w:hint="cs"/>
          <w:rtl/>
        </w:rPr>
        <w:t xml:space="preserve"> לתת מענה לצרכנים </w:t>
      </w:r>
      <w:r w:rsidR="009060DA">
        <w:rPr>
          <w:rFonts w:hint="cs"/>
          <w:rtl/>
        </w:rPr>
        <w:t>ש</w:t>
      </w:r>
      <w:r w:rsidRPr="00B40FCD">
        <w:rPr>
          <w:rFonts w:hint="cs"/>
          <w:rtl/>
        </w:rPr>
        <w:t>אין ביכולתם לקרוא את השפה העברית. ואולם</w:t>
      </w:r>
      <w:r>
        <w:rPr>
          <w:rFonts w:hint="cs"/>
          <w:rtl/>
        </w:rPr>
        <w:t xml:space="preserve">, </w:t>
      </w:r>
      <w:r w:rsidRPr="00B40FCD">
        <w:rPr>
          <w:rFonts w:hint="cs"/>
          <w:rtl/>
        </w:rPr>
        <w:t xml:space="preserve">הסעיף אינו </w:t>
      </w:r>
      <w:r w:rsidRPr="00B40FCD">
        <w:rPr>
          <w:rFonts w:hint="eastAsia"/>
          <w:rtl/>
        </w:rPr>
        <w:t>נותן</w:t>
      </w:r>
      <w:r w:rsidRPr="00B40FCD">
        <w:rPr>
          <w:rtl/>
        </w:rPr>
        <w:t xml:space="preserve"> </w:t>
      </w:r>
      <w:r w:rsidRPr="00B40FCD">
        <w:rPr>
          <w:rFonts w:hint="eastAsia"/>
          <w:rtl/>
        </w:rPr>
        <w:t>מענה</w:t>
      </w:r>
      <w:r w:rsidRPr="00B40FCD">
        <w:rPr>
          <w:rtl/>
        </w:rPr>
        <w:t xml:space="preserve"> </w:t>
      </w:r>
      <w:r w:rsidRPr="00B40FCD">
        <w:rPr>
          <w:rFonts w:hint="eastAsia"/>
          <w:rtl/>
        </w:rPr>
        <w:t>לקושי</w:t>
      </w:r>
      <w:r w:rsidRPr="00B40FCD">
        <w:rPr>
          <w:rtl/>
        </w:rPr>
        <w:t xml:space="preserve"> </w:t>
      </w:r>
      <w:r w:rsidRPr="00B40FCD">
        <w:rPr>
          <w:rFonts w:hint="eastAsia"/>
          <w:rtl/>
        </w:rPr>
        <w:t>של</w:t>
      </w:r>
      <w:r w:rsidRPr="00B40FCD">
        <w:rPr>
          <w:rtl/>
        </w:rPr>
        <w:t xml:space="preserve"> </w:t>
      </w:r>
      <w:r w:rsidRPr="00B40FCD">
        <w:rPr>
          <w:rFonts w:hint="eastAsia"/>
          <w:rtl/>
        </w:rPr>
        <w:t>אוכלוסיית</w:t>
      </w:r>
      <w:r w:rsidRPr="00B40FCD">
        <w:rPr>
          <w:rtl/>
        </w:rPr>
        <w:t xml:space="preserve"> </w:t>
      </w:r>
      <w:r w:rsidRPr="00B40FCD">
        <w:rPr>
          <w:rFonts w:hint="eastAsia"/>
          <w:rtl/>
        </w:rPr>
        <w:t>העיוורים</w:t>
      </w:r>
      <w:r w:rsidRPr="00B40FCD">
        <w:rPr>
          <w:rtl/>
        </w:rPr>
        <w:t xml:space="preserve">, </w:t>
      </w:r>
      <w:r w:rsidRPr="00B40FCD">
        <w:rPr>
          <w:rFonts w:hint="eastAsia"/>
          <w:rtl/>
        </w:rPr>
        <w:t>אשר</w:t>
      </w:r>
      <w:r w:rsidRPr="00B40FCD">
        <w:rPr>
          <w:rtl/>
        </w:rPr>
        <w:t xml:space="preserve"> </w:t>
      </w:r>
      <w:r w:rsidRPr="00B40FCD">
        <w:rPr>
          <w:rFonts w:hint="eastAsia"/>
          <w:rtl/>
        </w:rPr>
        <w:t>אינם</w:t>
      </w:r>
      <w:r w:rsidRPr="00B40FCD">
        <w:rPr>
          <w:rtl/>
        </w:rPr>
        <w:t xml:space="preserve"> </w:t>
      </w:r>
      <w:r w:rsidRPr="00B40FCD">
        <w:rPr>
          <w:rFonts w:hint="eastAsia"/>
          <w:rtl/>
        </w:rPr>
        <w:t>יכולים</w:t>
      </w:r>
      <w:r w:rsidRPr="00B40FCD">
        <w:rPr>
          <w:rtl/>
        </w:rPr>
        <w:t xml:space="preserve"> </w:t>
      </w:r>
      <w:r w:rsidRPr="00B40FCD">
        <w:rPr>
          <w:rFonts w:hint="eastAsia"/>
          <w:rtl/>
        </w:rPr>
        <w:t>לקרוא</w:t>
      </w:r>
      <w:r w:rsidRPr="00B40FCD">
        <w:rPr>
          <w:rtl/>
        </w:rPr>
        <w:t xml:space="preserve"> </w:t>
      </w:r>
      <w:r w:rsidRPr="00B40FCD">
        <w:rPr>
          <w:rFonts w:hint="eastAsia"/>
          <w:rtl/>
        </w:rPr>
        <w:t>את</w:t>
      </w:r>
      <w:r w:rsidRPr="00B40FCD">
        <w:rPr>
          <w:rtl/>
        </w:rPr>
        <w:t xml:space="preserve"> </w:t>
      </w:r>
      <w:r w:rsidRPr="00B40FCD">
        <w:rPr>
          <w:rFonts w:hint="eastAsia"/>
          <w:rtl/>
        </w:rPr>
        <w:t>המידע</w:t>
      </w:r>
      <w:r w:rsidRPr="00B40FCD">
        <w:rPr>
          <w:rtl/>
        </w:rPr>
        <w:t xml:space="preserve"> </w:t>
      </w:r>
      <w:r w:rsidRPr="00B40FCD">
        <w:rPr>
          <w:rFonts w:hint="eastAsia"/>
          <w:rtl/>
        </w:rPr>
        <w:t>האמור</w:t>
      </w:r>
      <w:r w:rsidRPr="00B40FCD">
        <w:rPr>
          <w:rtl/>
        </w:rPr>
        <w:t xml:space="preserve">. </w:t>
      </w:r>
    </w:p>
    <w:p w14:paraId="0705DDC5" w14:textId="77777777" w:rsidR="00B05548" w:rsidRPr="008F14CB" w:rsidRDefault="00B05548" w:rsidP="00B05548">
      <w:pPr>
        <w:pStyle w:val="Hesber"/>
        <w:rPr>
          <w:rtl/>
        </w:rPr>
      </w:pPr>
      <w:r w:rsidRPr="008F14CB">
        <w:rPr>
          <w:rFonts w:hint="cs"/>
          <w:rtl/>
        </w:rPr>
        <w:t>בישראל</w:t>
      </w:r>
      <w:r w:rsidRPr="008F14CB">
        <w:t xml:space="preserve"> </w:t>
      </w:r>
      <w:r w:rsidRPr="008F14CB">
        <w:rPr>
          <w:rFonts w:hint="cs"/>
          <w:rtl/>
        </w:rPr>
        <w:t>חיים</w:t>
      </w:r>
      <w:r w:rsidRPr="008F14CB">
        <w:t xml:space="preserve"> </w:t>
      </w:r>
      <w:r w:rsidRPr="008F14CB">
        <w:rPr>
          <w:rFonts w:hint="cs"/>
          <w:rtl/>
        </w:rPr>
        <w:t>כיום כ-23,000</w:t>
      </w:r>
      <w:r w:rsidRPr="008F14CB">
        <w:t xml:space="preserve"> </w:t>
      </w:r>
      <w:r w:rsidRPr="008F14CB">
        <w:rPr>
          <w:rFonts w:hint="cs"/>
          <w:rtl/>
        </w:rPr>
        <w:t>אנשים</w:t>
      </w:r>
      <w:r w:rsidRPr="008F14CB">
        <w:t xml:space="preserve"> </w:t>
      </w:r>
      <w:r w:rsidRPr="008F14CB">
        <w:rPr>
          <w:rFonts w:hint="cs"/>
          <w:rtl/>
        </w:rPr>
        <w:t>בעלי</w:t>
      </w:r>
      <w:r w:rsidRPr="008F14CB">
        <w:t xml:space="preserve"> </w:t>
      </w:r>
      <w:r w:rsidRPr="008F14CB">
        <w:rPr>
          <w:rFonts w:hint="cs"/>
          <w:rtl/>
        </w:rPr>
        <w:t>תעודת</w:t>
      </w:r>
      <w:r w:rsidRPr="008F14CB">
        <w:t xml:space="preserve"> </w:t>
      </w:r>
      <w:r w:rsidRPr="008F14CB">
        <w:rPr>
          <w:rFonts w:hint="eastAsia"/>
          <w:rtl/>
        </w:rPr>
        <w:t>עיוור</w:t>
      </w:r>
      <w:r w:rsidRPr="008F14CB">
        <w:rPr>
          <w:rFonts w:hint="cs"/>
          <w:rtl/>
        </w:rPr>
        <w:t xml:space="preserve">. </w:t>
      </w:r>
      <w:r w:rsidRPr="008F14CB">
        <w:rPr>
          <w:rtl/>
        </w:rPr>
        <w:t>13.5% מ</w:t>
      </w:r>
      <w:r w:rsidRPr="008F14CB">
        <w:rPr>
          <w:rFonts w:hint="cs"/>
          <w:rtl/>
        </w:rPr>
        <w:t>תוכם</w:t>
      </w:r>
      <w:r w:rsidRPr="008F14CB">
        <w:t xml:space="preserve"> </w:t>
      </w:r>
      <w:r w:rsidRPr="008F14CB">
        <w:rPr>
          <w:rFonts w:hint="eastAsia"/>
          <w:rtl/>
        </w:rPr>
        <w:t>סובלים</w:t>
      </w:r>
      <w:r w:rsidRPr="008F14CB">
        <w:t xml:space="preserve"> </w:t>
      </w:r>
      <w:r w:rsidRPr="008F14CB">
        <w:rPr>
          <w:rFonts w:hint="eastAsia"/>
          <w:rtl/>
        </w:rPr>
        <w:t>מעיוורון</w:t>
      </w:r>
      <w:r w:rsidRPr="008F14CB">
        <w:t xml:space="preserve"> </w:t>
      </w:r>
      <w:r w:rsidRPr="008F14CB">
        <w:rPr>
          <w:rFonts w:hint="eastAsia"/>
          <w:rtl/>
        </w:rPr>
        <w:t>מוחלט</w:t>
      </w:r>
      <w:r w:rsidRPr="008F14CB">
        <w:rPr>
          <w:rtl/>
        </w:rPr>
        <w:t xml:space="preserve">. </w:t>
      </w:r>
      <w:r w:rsidRPr="008F14CB">
        <w:rPr>
          <w:rFonts w:hint="cs"/>
          <w:rtl/>
        </w:rPr>
        <w:t>כ-65% מן</w:t>
      </w:r>
      <w:r w:rsidRPr="008F14CB">
        <w:t xml:space="preserve"> </w:t>
      </w:r>
      <w:r w:rsidRPr="008F14CB">
        <w:rPr>
          <w:rFonts w:hint="cs"/>
          <w:rtl/>
        </w:rPr>
        <w:t>העיוורים</w:t>
      </w:r>
      <w:r w:rsidRPr="008F14CB">
        <w:t xml:space="preserve"> </w:t>
      </w:r>
      <w:r w:rsidRPr="008F14CB">
        <w:rPr>
          <w:rFonts w:hint="cs"/>
          <w:rtl/>
        </w:rPr>
        <w:t>בישראל</w:t>
      </w:r>
      <w:r w:rsidRPr="008F14CB">
        <w:t xml:space="preserve"> </w:t>
      </w:r>
      <w:r w:rsidRPr="008F14CB">
        <w:rPr>
          <w:rFonts w:hint="cs"/>
          <w:rtl/>
        </w:rPr>
        <w:t>משתייכים</w:t>
      </w:r>
      <w:r w:rsidRPr="008F14CB">
        <w:t xml:space="preserve"> </w:t>
      </w:r>
      <w:r w:rsidRPr="008F14CB">
        <w:rPr>
          <w:rFonts w:hint="cs"/>
          <w:rtl/>
        </w:rPr>
        <w:t>לקבוצת</w:t>
      </w:r>
      <w:r w:rsidRPr="008F14CB">
        <w:t xml:space="preserve"> </w:t>
      </w:r>
      <w:r w:rsidRPr="008F14CB">
        <w:rPr>
          <w:rFonts w:hint="eastAsia"/>
          <w:rtl/>
        </w:rPr>
        <w:t>הגיל</w:t>
      </w:r>
      <w:r w:rsidRPr="008F14CB">
        <w:rPr>
          <w:rtl/>
        </w:rPr>
        <w:t xml:space="preserve"> </w:t>
      </w:r>
      <w:r w:rsidRPr="008F14CB">
        <w:rPr>
          <w:rFonts w:hint="eastAsia"/>
          <w:rtl/>
        </w:rPr>
        <w:t>של</w:t>
      </w:r>
      <w:r w:rsidRPr="008F14CB">
        <w:t xml:space="preserve"> </w:t>
      </w:r>
      <w:r w:rsidRPr="008F14CB">
        <w:rPr>
          <w:rFonts w:hint="eastAsia"/>
          <w:rtl/>
        </w:rPr>
        <w:t>בני</w:t>
      </w:r>
      <w:r w:rsidRPr="008F14CB">
        <w:rPr>
          <w:rtl/>
        </w:rPr>
        <w:t xml:space="preserve"> 66</w:t>
      </w:r>
      <w:r w:rsidRPr="008F14CB">
        <w:t xml:space="preserve"> </w:t>
      </w:r>
      <w:r w:rsidRPr="008F14CB">
        <w:rPr>
          <w:rFonts w:hint="eastAsia"/>
          <w:rtl/>
        </w:rPr>
        <w:t>ומעלה</w:t>
      </w:r>
      <w:r w:rsidRPr="008F14CB">
        <w:rPr>
          <w:rtl/>
        </w:rPr>
        <w:t>.</w:t>
      </w:r>
      <w:r w:rsidRPr="008F14CB">
        <w:t xml:space="preserve"> </w:t>
      </w:r>
      <w:r w:rsidRPr="008F14CB">
        <w:rPr>
          <w:rFonts w:hint="eastAsia"/>
          <w:rtl/>
        </w:rPr>
        <w:t>כלומר</w:t>
      </w:r>
      <w:r w:rsidRPr="008F14CB">
        <w:rPr>
          <w:rtl/>
        </w:rPr>
        <w:t xml:space="preserve">, מרבית אוכלוסיית העיוורים היא בקבוצת גיל אשר מועדת למחלות ולצריכת תרופות.   </w:t>
      </w:r>
    </w:p>
    <w:p w14:paraId="07198B0A" w14:textId="77777777" w:rsidR="00B05548" w:rsidRPr="008F14CB" w:rsidRDefault="00B05548" w:rsidP="00B05548">
      <w:pPr>
        <w:pStyle w:val="Hesber"/>
      </w:pPr>
      <w:r w:rsidRPr="008F14CB">
        <w:rPr>
          <w:rFonts w:hint="cs"/>
          <w:rtl/>
        </w:rPr>
        <w:t>כתב</w:t>
      </w:r>
      <w:r w:rsidRPr="008F14CB">
        <w:t xml:space="preserve"> </w:t>
      </w:r>
      <w:r w:rsidRPr="008F14CB">
        <w:rPr>
          <w:rFonts w:hint="cs"/>
          <w:rtl/>
        </w:rPr>
        <w:t>ברייל</w:t>
      </w:r>
      <w:r w:rsidRPr="008F14CB">
        <w:t xml:space="preserve"> </w:t>
      </w:r>
      <w:r w:rsidRPr="008F14CB">
        <w:rPr>
          <w:rFonts w:hint="cs"/>
          <w:rtl/>
        </w:rPr>
        <w:t>הוא</w:t>
      </w:r>
      <w:r w:rsidRPr="008F14CB">
        <w:t xml:space="preserve"> </w:t>
      </w:r>
      <w:r w:rsidRPr="008F14CB">
        <w:rPr>
          <w:rFonts w:hint="cs"/>
          <w:rtl/>
        </w:rPr>
        <w:t>שיטת</w:t>
      </w:r>
      <w:r w:rsidRPr="008F14CB">
        <w:t xml:space="preserve"> </w:t>
      </w:r>
      <w:r w:rsidRPr="008F14CB">
        <w:rPr>
          <w:rFonts w:hint="cs"/>
          <w:rtl/>
        </w:rPr>
        <w:t>קריאה</w:t>
      </w:r>
      <w:r w:rsidRPr="008F14CB">
        <w:t xml:space="preserve"> </w:t>
      </w:r>
      <w:r w:rsidRPr="008F14CB">
        <w:rPr>
          <w:rFonts w:hint="cs"/>
          <w:rtl/>
        </w:rPr>
        <w:t>וכתיבה</w:t>
      </w:r>
      <w:r w:rsidRPr="008F14CB">
        <w:t xml:space="preserve"> </w:t>
      </w:r>
      <w:r w:rsidRPr="008F14CB">
        <w:rPr>
          <w:rFonts w:hint="cs"/>
          <w:rtl/>
        </w:rPr>
        <w:t>המבוססת</w:t>
      </w:r>
      <w:r w:rsidRPr="008F14CB">
        <w:t xml:space="preserve"> </w:t>
      </w:r>
      <w:r w:rsidRPr="008F14CB">
        <w:rPr>
          <w:rFonts w:hint="cs"/>
          <w:rtl/>
        </w:rPr>
        <w:t>על</w:t>
      </w:r>
      <w:r w:rsidRPr="008F14CB">
        <w:t xml:space="preserve"> </w:t>
      </w:r>
      <w:r w:rsidRPr="008F14CB">
        <w:rPr>
          <w:rFonts w:hint="cs"/>
          <w:rtl/>
        </w:rPr>
        <w:t>חוש</w:t>
      </w:r>
      <w:r w:rsidRPr="008F14CB">
        <w:t xml:space="preserve"> </w:t>
      </w:r>
      <w:r w:rsidRPr="008F14CB">
        <w:rPr>
          <w:rFonts w:hint="cs"/>
          <w:rtl/>
        </w:rPr>
        <w:t>המישוש</w:t>
      </w:r>
      <w:r w:rsidRPr="008F14CB">
        <w:t xml:space="preserve"> </w:t>
      </w:r>
      <w:r w:rsidRPr="008F14CB">
        <w:rPr>
          <w:rFonts w:hint="cs"/>
          <w:rtl/>
        </w:rPr>
        <w:t>ומיועדת</w:t>
      </w:r>
      <w:r w:rsidRPr="008F14CB">
        <w:t xml:space="preserve"> </w:t>
      </w:r>
      <w:r w:rsidRPr="008F14CB">
        <w:rPr>
          <w:rFonts w:hint="cs"/>
          <w:rtl/>
        </w:rPr>
        <w:t>לעיוורים</w:t>
      </w:r>
      <w:r w:rsidRPr="008F14CB">
        <w:t xml:space="preserve"> </w:t>
      </w:r>
      <w:r w:rsidRPr="008F14CB">
        <w:rPr>
          <w:rFonts w:hint="cs"/>
          <w:rtl/>
        </w:rPr>
        <w:t>וללקויי</w:t>
      </w:r>
      <w:r w:rsidRPr="008F14CB">
        <w:t xml:space="preserve"> </w:t>
      </w:r>
      <w:r w:rsidRPr="008F14CB">
        <w:rPr>
          <w:rFonts w:hint="cs"/>
          <w:rtl/>
        </w:rPr>
        <w:t>הראייה</w:t>
      </w:r>
      <w:r w:rsidRPr="008F14CB">
        <w:t>.</w:t>
      </w:r>
    </w:p>
    <w:p w14:paraId="2C146964" w14:textId="0551A0E2" w:rsidR="00B05548" w:rsidRDefault="00B05548" w:rsidP="009060DA">
      <w:pPr>
        <w:pStyle w:val="Hesber"/>
        <w:ind w:firstLine="0"/>
        <w:rPr>
          <w:rtl/>
        </w:rPr>
      </w:pPr>
      <w:r w:rsidRPr="008F14CB">
        <w:rPr>
          <w:rFonts w:hint="cs"/>
          <w:rtl/>
        </w:rPr>
        <w:t xml:space="preserve">עלון לצרכן המצורף לתרופות מכיל את המידע הבא: </w:t>
      </w:r>
      <w:r w:rsidRPr="008F14CB">
        <w:rPr>
          <w:rtl/>
        </w:rPr>
        <w:t>הרכב התרופה</w:t>
      </w:r>
      <w:r w:rsidRPr="008F14CB">
        <w:rPr>
          <w:rFonts w:hint="cs"/>
          <w:rtl/>
        </w:rPr>
        <w:t>,</w:t>
      </w:r>
      <w:r w:rsidRPr="008F14CB">
        <w:rPr>
          <w:rtl/>
        </w:rPr>
        <w:t xml:space="preserve"> הדרך בה יש ליטול א</w:t>
      </w:r>
      <w:r w:rsidRPr="008F14CB">
        <w:rPr>
          <w:rFonts w:hint="cs"/>
          <w:rtl/>
        </w:rPr>
        <w:t>ו</w:t>
      </w:r>
      <w:r w:rsidRPr="008F14CB">
        <w:rPr>
          <w:rtl/>
        </w:rPr>
        <w:t>תה</w:t>
      </w:r>
      <w:r w:rsidRPr="008F14CB">
        <w:rPr>
          <w:rFonts w:hint="cs"/>
          <w:rtl/>
        </w:rPr>
        <w:t>,</w:t>
      </w:r>
      <w:r w:rsidRPr="008F14CB">
        <w:rPr>
          <w:rtl/>
        </w:rPr>
        <w:t xml:space="preserve"> הנחיות מתי אין ליטול את התרופה</w:t>
      </w:r>
      <w:r w:rsidRPr="008F14CB">
        <w:rPr>
          <w:rFonts w:hint="cs"/>
          <w:rtl/>
        </w:rPr>
        <w:t>,</w:t>
      </w:r>
      <w:r w:rsidRPr="008F14CB">
        <w:rPr>
          <w:rtl/>
        </w:rPr>
        <w:t xml:space="preserve"> אזהרות כלליות לשימוש בתרופה</w:t>
      </w:r>
      <w:r w:rsidRPr="008F14CB">
        <w:rPr>
          <w:rFonts w:hint="cs"/>
          <w:rtl/>
        </w:rPr>
        <w:t xml:space="preserve"> (</w:t>
      </w:r>
      <w:r>
        <w:rPr>
          <w:rFonts w:hint="cs"/>
          <w:rtl/>
        </w:rPr>
        <w:t xml:space="preserve">כגון </w:t>
      </w:r>
      <w:r w:rsidRPr="008F14CB">
        <w:rPr>
          <w:rtl/>
        </w:rPr>
        <w:t>אם יש צורך בביצוע בדיקות דם או בדיקות אחרות לפני תחילת השימוש בתרופה</w:t>
      </w:r>
      <w:r w:rsidRPr="008F14CB">
        <w:rPr>
          <w:rFonts w:hint="cs"/>
          <w:rtl/>
        </w:rPr>
        <w:t>,</w:t>
      </w:r>
      <w:r w:rsidRPr="008F14CB">
        <w:rPr>
          <w:rtl/>
        </w:rPr>
        <w:t xml:space="preserve"> האם יש פעילויות שאסור לבצע בזמן השימוש בתרופה</w:t>
      </w:r>
      <w:r w:rsidRPr="008F14CB">
        <w:rPr>
          <w:rFonts w:hint="cs"/>
          <w:rtl/>
        </w:rPr>
        <w:t xml:space="preserve">, </w:t>
      </w:r>
      <w:r w:rsidRPr="008F14CB">
        <w:rPr>
          <w:rtl/>
        </w:rPr>
        <w:t>תגובות בין תרופתיות</w:t>
      </w:r>
      <w:r w:rsidRPr="008F14CB">
        <w:rPr>
          <w:rFonts w:hint="cs"/>
          <w:rtl/>
        </w:rPr>
        <w:t>,</w:t>
      </w:r>
      <w:r w:rsidRPr="008F14CB">
        <w:rPr>
          <w:rtl/>
        </w:rPr>
        <w:t xml:space="preserve"> אם עלולים להיות סיבוכים או השפעות שונות על פעילות התרופה כאשר היא </w:t>
      </w:r>
      <w:r w:rsidRPr="008F14CB">
        <w:rPr>
          <w:rtl/>
        </w:rPr>
        <w:lastRenderedPageBreak/>
        <w:t>משולבת יחד עם תרופות נוספות</w:t>
      </w:r>
      <w:r w:rsidRPr="008F14CB">
        <w:rPr>
          <w:rFonts w:hint="cs"/>
          <w:rtl/>
        </w:rPr>
        <w:t>)</w:t>
      </w:r>
      <w:r w:rsidRPr="008F14CB">
        <w:rPr>
          <w:rtl/>
        </w:rPr>
        <w:t>.</w:t>
      </w:r>
      <w:r w:rsidRPr="008F14CB">
        <w:rPr>
          <w:rFonts w:hint="cs"/>
          <w:rtl/>
        </w:rPr>
        <w:t xml:space="preserve"> כמו כן, כולל העלון לצרכן פירוט של </w:t>
      </w:r>
      <w:r w:rsidRPr="008F14CB">
        <w:rPr>
          <w:rtl/>
        </w:rPr>
        <w:t>תופעות לוואי ש</w:t>
      </w:r>
      <w:r w:rsidRPr="008F14CB">
        <w:rPr>
          <w:rFonts w:hint="cs"/>
          <w:rtl/>
        </w:rPr>
        <w:t>עשויות להיות</w:t>
      </w:r>
      <w:r w:rsidRPr="008F14CB">
        <w:rPr>
          <w:rtl/>
        </w:rPr>
        <w:t xml:space="preserve"> </w:t>
      </w:r>
      <w:r w:rsidRPr="008F14CB">
        <w:rPr>
          <w:rFonts w:hint="cs"/>
          <w:rtl/>
        </w:rPr>
        <w:t>ל</w:t>
      </w:r>
      <w:r w:rsidRPr="008F14CB">
        <w:rPr>
          <w:rtl/>
        </w:rPr>
        <w:t>תרופה</w:t>
      </w:r>
      <w:r w:rsidRPr="008F14CB">
        <w:rPr>
          <w:rFonts w:hint="cs"/>
          <w:rtl/>
        </w:rPr>
        <w:t xml:space="preserve">, </w:t>
      </w:r>
      <w:r w:rsidRPr="008F14CB">
        <w:rPr>
          <w:rtl/>
        </w:rPr>
        <w:t xml:space="preserve">מינון מומלץ </w:t>
      </w:r>
      <w:r w:rsidRPr="008F14CB">
        <w:rPr>
          <w:rFonts w:hint="cs"/>
          <w:rtl/>
        </w:rPr>
        <w:t>ו</w:t>
      </w:r>
      <w:r w:rsidRPr="008F14CB">
        <w:rPr>
          <w:rtl/>
        </w:rPr>
        <w:t>הוראות אחסון</w:t>
      </w:r>
      <w:r w:rsidRPr="008F14CB">
        <w:rPr>
          <w:rFonts w:hint="cs"/>
          <w:rtl/>
        </w:rPr>
        <w:t xml:space="preserve">. מידע זה </w:t>
      </w:r>
      <w:r>
        <w:rPr>
          <w:rFonts w:hint="cs"/>
          <w:rtl/>
        </w:rPr>
        <w:t>ה</w:t>
      </w:r>
      <w:r w:rsidRPr="008F14CB">
        <w:rPr>
          <w:rFonts w:hint="cs"/>
          <w:rtl/>
        </w:rPr>
        <w:t>ו</w:t>
      </w:r>
      <w:r>
        <w:rPr>
          <w:rFonts w:hint="cs"/>
          <w:rtl/>
        </w:rPr>
        <w:t>א</w:t>
      </w:r>
      <w:r w:rsidRPr="008F14CB">
        <w:rPr>
          <w:rFonts w:hint="cs"/>
          <w:rtl/>
        </w:rPr>
        <w:t xml:space="preserve"> חשוב וחיוני לצרכן והיעדר נגישות למידע כאמור יכולה להוות סכנת חיים ממשית.</w:t>
      </w:r>
    </w:p>
    <w:p w14:paraId="261BF639" w14:textId="77777777" w:rsidR="00B05548" w:rsidRPr="00C84EF2" w:rsidRDefault="00B05548" w:rsidP="00B05548">
      <w:pPr>
        <w:pStyle w:val="Hesber"/>
        <w:ind w:firstLine="0"/>
        <w:rPr>
          <w:rtl/>
        </w:rPr>
      </w:pPr>
      <w:r w:rsidRPr="008F14CB">
        <w:rPr>
          <w:rFonts w:hint="cs"/>
          <w:rtl/>
        </w:rPr>
        <w:t>ב-30</w:t>
      </w:r>
      <w:r w:rsidRPr="008F14CB">
        <w:t xml:space="preserve"> </w:t>
      </w:r>
      <w:r w:rsidRPr="008F14CB">
        <w:rPr>
          <w:rFonts w:hint="cs"/>
          <w:rtl/>
        </w:rPr>
        <w:t>באוקטובר 2005 נכנסה</w:t>
      </w:r>
      <w:r w:rsidRPr="008F14CB">
        <w:t xml:space="preserve"> </w:t>
      </w:r>
      <w:r w:rsidRPr="008F14CB">
        <w:rPr>
          <w:rFonts w:hint="cs"/>
          <w:rtl/>
        </w:rPr>
        <w:t>לתוקפה</w:t>
      </w:r>
      <w:r w:rsidRPr="008F14CB">
        <w:t xml:space="preserve"> </w:t>
      </w:r>
      <w:r w:rsidRPr="008F14CB">
        <w:rPr>
          <w:rFonts w:hint="cs"/>
          <w:rtl/>
        </w:rPr>
        <w:t>הדירקטיבה</w:t>
      </w:r>
      <w:r w:rsidRPr="008F14CB">
        <w:t xml:space="preserve"> </w:t>
      </w:r>
      <w:r w:rsidRPr="008F14CB">
        <w:rPr>
          <w:rFonts w:hint="cs"/>
          <w:rtl/>
        </w:rPr>
        <w:t>האירופית</w:t>
      </w:r>
      <w:r w:rsidRPr="008F14CB">
        <w:t>EC 2004/</w:t>
      </w:r>
      <w:r w:rsidRPr="00B40FCD">
        <w:rPr>
          <w:color w:val="auto"/>
        </w:rPr>
        <w:t xml:space="preserve">27 </w:t>
      </w:r>
      <w:r w:rsidRPr="00B40FCD">
        <w:rPr>
          <w:rFonts w:hint="cs"/>
          <w:color w:val="auto"/>
          <w:rtl/>
        </w:rPr>
        <w:t xml:space="preserve"> </w:t>
      </w:r>
      <w:r w:rsidRPr="008F14CB">
        <w:rPr>
          <w:rFonts w:hint="cs"/>
          <w:rtl/>
        </w:rPr>
        <w:t>המחייבת</w:t>
      </w:r>
      <w:r w:rsidRPr="008F14CB">
        <w:t xml:space="preserve"> </w:t>
      </w:r>
      <w:r w:rsidRPr="008F14CB">
        <w:rPr>
          <w:rFonts w:hint="cs"/>
          <w:rtl/>
        </w:rPr>
        <w:t>הוספת</w:t>
      </w:r>
      <w:r w:rsidRPr="008F14CB">
        <w:t xml:space="preserve"> </w:t>
      </w:r>
      <w:r w:rsidRPr="008F14CB">
        <w:rPr>
          <w:rFonts w:hint="cs"/>
          <w:rtl/>
        </w:rPr>
        <w:t>תוויות</w:t>
      </w:r>
      <w:r w:rsidRPr="008F14CB">
        <w:t xml:space="preserve"> </w:t>
      </w:r>
      <w:r w:rsidRPr="008F14CB">
        <w:rPr>
          <w:rFonts w:hint="eastAsia"/>
          <w:rtl/>
        </w:rPr>
        <w:t>ועלוני</w:t>
      </w:r>
      <w:r w:rsidRPr="008F14CB">
        <w:t xml:space="preserve"> </w:t>
      </w:r>
      <w:r w:rsidRPr="008F14CB">
        <w:rPr>
          <w:rFonts w:hint="eastAsia"/>
          <w:rtl/>
        </w:rPr>
        <w:t>מידע</w:t>
      </w:r>
      <w:r w:rsidRPr="008F14CB">
        <w:t xml:space="preserve"> </w:t>
      </w:r>
      <w:r w:rsidRPr="008F14CB">
        <w:rPr>
          <w:rFonts w:hint="eastAsia"/>
          <w:rtl/>
        </w:rPr>
        <w:t>בכתב</w:t>
      </w:r>
      <w:r w:rsidRPr="008F14CB">
        <w:t xml:space="preserve"> </w:t>
      </w:r>
      <w:r w:rsidRPr="008F14CB">
        <w:rPr>
          <w:rFonts w:hint="eastAsia"/>
          <w:rtl/>
        </w:rPr>
        <w:t>ברייל</w:t>
      </w:r>
      <w:r w:rsidRPr="008F14CB">
        <w:t xml:space="preserve"> </w:t>
      </w:r>
      <w:r w:rsidRPr="008F14CB">
        <w:rPr>
          <w:rFonts w:hint="eastAsia"/>
          <w:rtl/>
        </w:rPr>
        <w:t>לתרופות</w:t>
      </w:r>
      <w:r w:rsidRPr="008F14CB">
        <w:t xml:space="preserve"> </w:t>
      </w:r>
      <w:r w:rsidRPr="008F14CB">
        <w:rPr>
          <w:rFonts w:hint="eastAsia"/>
          <w:rtl/>
        </w:rPr>
        <w:t>ולמוצרים</w:t>
      </w:r>
      <w:r w:rsidRPr="008F14CB">
        <w:t xml:space="preserve"> </w:t>
      </w:r>
      <w:r w:rsidRPr="008F14CB">
        <w:rPr>
          <w:rFonts w:hint="eastAsia"/>
          <w:rtl/>
        </w:rPr>
        <w:t>רפואיים</w:t>
      </w:r>
      <w:r>
        <w:rPr>
          <w:rFonts w:hint="cs"/>
          <w:rtl/>
        </w:rPr>
        <w:t xml:space="preserve"> (</w:t>
      </w:r>
      <w:r w:rsidRPr="00B40FCD">
        <w:rPr>
          <w:color w:val="auto"/>
        </w:rPr>
        <w:t>European Commission, "Directive 2004/27/EC of the European Parliament and the Council amending</w:t>
      </w:r>
      <w:r>
        <w:rPr>
          <w:color w:val="auto"/>
        </w:rPr>
        <w:t xml:space="preserve"> </w:t>
      </w:r>
      <w:r w:rsidRPr="00B40FCD">
        <w:rPr>
          <w:color w:val="auto"/>
        </w:rPr>
        <w:t>Directive 2001/83/EC on the Community code relating to medicinal products for human use", Official</w:t>
      </w:r>
      <w:r>
        <w:rPr>
          <w:color w:val="auto"/>
        </w:rPr>
        <w:t xml:space="preserve"> </w:t>
      </w:r>
      <w:r w:rsidRPr="00B40FCD">
        <w:rPr>
          <w:color w:val="auto"/>
        </w:rPr>
        <w:t>Journal of the European Union, L 136/34 (30.4.2004</w:t>
      </w:r>
      <w:r>
        <w:rPr>
          <w:rFonts w:hint="cs"/>
          <w:rtl/>
        </w:rPr>
        <w:t>).</w:t>
      </w:r>
    </w:p>
    <w:p w14:paraId="19C1BAD5" w14:textId="77777777" w:rsidR="00B05548" w:rsidRPr="008F14CB" w:rsidRDefault="00B05548" w:rsidP="00B05548">
      <w:pPr>
        <w:pStyle w:val="Hesber"/>
        <w:ind w:firstLine="0"/>
        <w:rPr>
          <w:rtl/>
        </w:rPr>
      </w:pPr>
      <w:r w:rsidRPr="008F14CB">
        <w:rPr>
          <w:rFonts w:hint="cs"/>
          <w:rtl/>
        </w:rPr>
        <w:t>סעיף</w:t>
      </w:r>
      <w:r w:rsidRPr="008F14CB">
        <w:t xml:space="preserve"> </w:t>
      </w:r>
      <w:r w:rsidRPr="008F14CB">
        <w:rPr>
          <w:rFonts w:hint="cs"/>
          <w:rtl/>
        </w:rPr>
        <w:t>54</w:t>
      </w:r>
      <w:r w:rsidRPr="008F14CB">
        <w:t xml:space="preserve"> </w:t>
      </w:r>
      <w:r w:rsidRPr="008F14CB">
        <w:rPr>
          <w:rFonts w:hint="cs"/>
          <w:rtl/>
        </w:rPr>
        <w:t>לדירקטיבה קובע כי יש</w:t>
      </w:r>
      <w:r w:rsidRPr="008F14CB">
        <w:t xml:space="preserve"> </w:t>
      </w:r>
      <w:r>
        <w:rPr>
          <w:rFonts w:hint="cs"/>
          <w:rtl/>
        </w:rPr>
        <w:t>לציין</w:t>
      </w:r>
      <w:r w:rsidRPr="008F14CB">
        <w:t xml:space="preserve"> </w:t>
      </w:r>
      <w:r w:rsidRPr="008F14CB">
        <w:rPr>
          <w:rFonts w:hint="cs"/>
          <w:rtl/>
        </w:rPr>
        <w:t>בברייל</w:t>
      </w:r>
      <w:r w:rsidRPr="008F14CB">
        <w:t xml:space="preserve"> </w:t>
      </w:r>
      <w:r w:rsidRPr="008F14CB">
        <w:rPr>
          <w:rFonts w:hint="cs"/>
          <w:rtl/>
        </w:rPr>
        <w:t>את פרטי</w:t>
      </w:r>
      <w:r w:rsidRPr="008F14CB">
        <w:t xml:space="preserve"> </w:t>
      </w:r>
      <w:r w:rsidRPr="008F14CB">
        <w:rPr>
          <w:rFonts w:hint="cs"/>
          <w:rtl/>
        </w:rPr>
        <w:t>המידע</w:t>
      </w:r>
      <w:r w:rsidRPr="008F14CB">
        <w:t xml:space="preserve"> </w:t>
      </w:r>
      <w:r w:rsidRPr="008F14CB">
        <w:rPr>
          <w:rFonts w:hint="cs"/>
          <w:rtl/>
        </w:rPr>
        <w:t>שלהלן</w:t>
      </w:r>
      <w:r w:rsidRPr="008F14CB">
        <w:t xml:space="preserve"> </w:t>
      </w:r>
      <w:r w:rsidRPr="008F14CB">
        <w:rPr>
          <w:rFonts w:hint="cs"/>
          <w:rtl/>
        </w:rPr>
        <w:t>על</w:t>
      </w:r>
      <w:r w:rsidRPr="008F14CB">
        <w:t xml:space="preserve"> </w:t>
      </w:r>
      <w:r w:rsidRPr="008F14CB">
        <w:rPr>
          <w:rFonts w:hint="cs"/>
          <w:rtl/>
        </w:rPr>
        <w:t>גבי</w:t>
      </w:r>
      <w:r w:rsidRPr="008F14CB">
        <w:t xml:space="preserve"> </w:t>
      </w:r>
      <w:r w:rsidRPr="008F14CB">
        <w:rPr>
          <w:rFonts w:hint="cs"/>
          <w:rtl/>
        </w:rPr>
        <w:t>האריזה</w:t>
      </w:r>
      <w:r>
        <w:rPr>
          <w:rFonts w:hint="cs"/>
          <w:rtl/>
        </w:rPr>
        <w:t xml:space="preserve"> של מוצר רפואי</w:t>
      </w:r>
      <w:r w:rsidRPr="008F14CB">
        <w:rPr>
          <w:rFonts w:hint="cs"/>
          <w:rtl/>
        </w:rPr>
        <w:t>: שם</w:t>
      </w:r>
      <w:r w:rsidRPr="008F14CB">
        <w:t xml:space="preserve"> </w:t>
      </w:r>
      <w:r w:rsidRPr="008F14CB">
        <w:rPr>
          <w:rFonts w:hint="cs"/>
          <w:rtl/>
        </w:rPr>
        <w:t>המוצר</w:t>
      </w:r>
      <w:r w:rsidRPr="008F14CB">
        <w:t xml:space="preserve"> </w:t>
      </w:r>
      <w:r w:rsidRPr="008F14CB">
        <w:rPr>
          <w:rFonts w:hint="cs"/>
          <w:rtl/>
        </w:rPr>
        <w:t>הרפואי,</w:t>
      </w:r>
      <w:r w:rsidRPr="008F14CB">
        <w:t xml:space="preserve"> </w:t>
      </w:r>
      <w:r w:rsidRPr="008F14CB">
        <w:rPr>
          <w:rFonts w:hint="cs"/>
          <w:rtl/>
        </w:rPr>
        <w:t>חוזק</w:t>
      </w:r>
      <w:r w:rsidRPr="008F14CB">
        <w:t xml:space="preserve"> </w:t>
      </w:r>
      <w:r w:rsidRPr="008F14CB">
        <w:rPr>
          <w:rFonts w:hint="cs"/>
          <w:rtl/>
        </w:rPr>
        <w:t>התרופה, הוראות</w:t>
      </w:r>
      <w:r w:rsidRPr="008F14CB">
        <w:t xml:space="preserve"> </w:t>
      </w:r>
      <w:r w:rsidRPr="008F14CB">
        <w:rPr>
          <w:rFonts w:hint="cs"/>
          <w:rtl/>
        </w:rPr>
        <w:t>לנטילת</w:t>
      </w:r>
      <w:r w:rsidRPr="008F14CB">
        <w:t xml:space="preserve"> </w:t>
      </w:r>
      <w:r w:rsidRPr="008F14CB">
        <w:rPr>
          <w:rFonts w:hint="cs"/>
          <w:rtl/>
        </w:rPr>
        <w:t>התרופה, האם</w:t>
      </w:r>
      <w:r w:rsidRPr="008F14CB">
        <w:t xml:space="preserve"> </w:t>
      </w:r>
      <w:r w:rsidRPr="008F14CB">
        <w:rPr>
          <w:rFonts w:hint="cs"/>
          <w:rtl/>
        </w:rPr>
        <w:t>התרופה</w:t>
      </w:r>
      <w:r w:rsidRPr="008F14CB">
        <w:t xml:space="preserve"> </w:t>
      </w:r>
      <w:r w:rsidRPr="008F14CB">
        <w:rPr>
          <w:rFonts w:hint="cs"/>
          <w:rtl/>
        </w:rPr>
        <w:t>מתאימה</w:t>
      </w:r>
      <w:r w:rsidRPr="008F14CB">
        <w:t xml:space="preserve"> </w:t>
      </w:r>
      <w:r w:rsidRPr="008F14CB">
        <w:rPr>
          <w:rFonts w:hint="cs"/>
          <w:rtl/>
        </w:rPr>
        <w:t>לתינוקות</w:t>
      </w:r>
      <w:r w:rsidRPr="008F14CB">
        <w:t xml:space="preserve"> </w:t>
      </w:r>
      <w:r w:rsidRPr="008F14CB">
        <w:rPr>
          <w:rFonts w:hint="cs"/>
          <w:rtl/>
        </w:rPr>
        <w:t>ילדים</w:t>
      </w:r>
      <w:r w:rsidRPr="008F14CB">
        <w:t xml:space="preserve"> </w:t>
      </w:r>
      <w:r w:rsidRPr="008F14CB">
        <w:rPr>
          <w:rFonts w:hint="cs"/>
          <w:rtl/>
        </w:rPr>
        <w:t>או</w:t>
      </w:r>
      <w:r w:rsidRPr="008F14CB">
        <w:t xml:space="preserve"> </w:t>
      </w:r>
      <w:r w:rsidRPr="008F14CB">
        <w:rPr>
          <w:rFonts w:hint="cs"/>
          <w:rtl/>
        </w:rPr>
        <w:t>מבוגרים</w:t>
      </w:r>
      <w:r>
        <w:rPr>
          <w:rFonts w:hint="cs"/>
          <w:rtl/>
        </w:rPr>
        <w:t>,</w:t>
      </w:r>
      <w:r w:rsidRPr="008F14CB">
        <w:rPr>
          <w:rFonts w:hint="cs"/>
          <w:rtl/>
        </w:rPr>
        <w:t xml:space="preserve"> אם</w:t>
      </w:r>
      <w:r w:rsidRPr="008F14CB">
        <w:t xml:space="preserve"> </w:t>
      </w:r>
      <w:r w:rsidRPr="008F14CB">
        <w:rPr>
          <w:rFonts w:hint="cs"/>
          <w:rtl/>
        </w:rPr>
        <w:t>המוצר</w:t>
      </w:r>
      <w:r w:rsidRPr="008F14CB">
        <w:t xml:space="preserve"> </w:t>
      </w:r>
      <w:r w:rsidRPr="008F14CB">
        <w:rPr>
          <w:rFonts w:hint="cs"/>
          <w:rtl/>
        </w:rPr>
        <w:t>מכיל</w:t>
      </w:r>
      <w:r w:rsidRPr="008F14CB">
        <w:t xml:space="preserve"> </w:t>
      </w:r>
      <w:r w:rsidRPr="008F14CB">
        <w:rPr>
          <w:rFonts w:hint="cs"/>
          <w:rtl/>
        </w:rPr>
        <w:t>עד</w:t>
      </w:r>
      <w:r w:rsidRPr="008F14CB">
        <w:t xml:space="preserve"> </w:t>
      </w:r>
      <w:r w:rsidRPr="008F14CB">
        <w:rPr>
          <w:rFonts w:hint="cs"/>
          <w:rtl/>
        </w:rPr>
        <w:t>שלושה</w:t>
      </w:r>
      <w:r w:rsidRPr="008F14CB">
        <w:t xml:space="preserve"> </w:t>
      </w:r>
      <w:r w:rsidRPr="008F14CB">
        <w:rPr>
          <w:rFonts w:hint="cs"/>
          <w:rtl/>
        </w:rPr>
        <w:t xml:space="preserve">חומרים </w:t>
      </w:r>
      <w:r w:rsidRPr="008F14CB">
        <w:rPr>
          <w:rFonts w:hint="eastAsia"/>
          <w:rtl/>
        </w:rPr>
        <w:t>פעילים</w:t>
      </w:r>
      <w:r w:rsidRPr="008F14CB">
        <w:rPr>
          <w:rtl/>
        </w:rPr>
        <w:t xml:space="preserve"> – </w:t>
      </w:r>
      <w:r w:rsidRPr="008F14CB">
        <w:rPr>
          <w:rFonts w:hint="eastAsia"/>
          <w:rtl/>
        </w:rPr>
        <w:t>יש</w:t>
      </w:r>
      <w:r w:rsidRPr="008F14CB">
        <w:t xml:space="preserve"> </w:t>
      </w:r>
      <w:r w:rsidRPr="008F14CB">
        <w:rPr>
          <w:rFonts w:hint="eastAsia"/>
          <w:rtl/>
        </w:rPr>
        <w:t>לציין</w:t>
      </w:r>
      <w:r w:rsidRPr="008F14CB">
        <w:t xml:space="preserve"> </w:t>
      </w:r>
      <w:r w:rsidRPr="008F14CB">
        <w:rPr>
          <w:rFonts w:hint="eastAsia"/>
          <w:rtl/>
        </w:rPr>
        <w:t>גם</w:t>
      </w:r>
      <w:r w:rsidRPr="008F14CB">
        <w:t xml:space="preserve"> </w:t>
      </w:r>
      <w:r w:rsidRPr="008F14CB">
        <w:rPr>
          <w:rFonts w:hint="eastAsia"/>
          <w:rtl/>
        </w:rPr>
        <w:t>את</w:t>
      </w:r>
      <w:r w:rsidRPr="008F14CB">
        <w:t xml:space="preserve"> </w:t>
      </w:r>
      <w:r w:rsidRPr="008F14CB">
        <w:rPr>
          <w:rFonts w:hint="eastAsia"/>
          <w:rtl/>
        </w:rPr>
        <w:t>שמה</w:t>
      </w:r>
      <w:r w:rsidRPr="008F14CB">
        <w:t xml:space="preserve"> </w:t>
      </w:r>
      <w:r w:rsidRPr="008F14CB">
        <w:rPr>
          <w:rFonts w:hint="eastAsia"/>
          <w:rtl/>
        </w:rPr>
        <w:t>הגנרי</w:t>
      </w:r>
      <w:r w:rsidRPr="008F14CB">
        <w:t xml:space="preserve"> </w:t>
      </w:r>
      <w:r w:rsidRPr="008F14CB">
        <w:rPr>
          <w:rFonts w:hint="eastAsia"/>
          <w:rtl/>
        </w:rPr>
        <w:t>הרשמי</w:t>
      </w:r>
      <w:r w:rsidRPr="008F14CB">
        <w:t xml:space="preserve"> </w:t>
      </w:r>
      <w:r w:rsidRPr="008F14CB">
        <w:rPr>
          <w:rFonts w:hint="eastAsia"/>
          <w:rtl/>
        </w:rPr>
        <w:t>של</w:t>
      </w:r>
      <w:r w:rsidRPr="008F14CB">
        <w:t xml:space="preserve"> </w:t>
      </w:r>
      <w:r w:rsidRPr="008F14CB">
        <w:rPr>
          <w:rFonts w:hint="eastAsia"/>
          <w:rtl/>
        </w:rPr>
        <w:t>התרופה</w:t>
      </w:r>
      <w:r w:rsidRPr="008F14CB">
        <w:t xml:space="preserve"> </w:t>
      </w:r>
      <w:r w:rsidRPr="008F14CB">
        <w:rPr>
          <w:rFonts w:hint="eastAsia"/>
          <w:rtl/>
        </w:rPr>
        <w:t>או</w:t>
      </w:r>
      <w:r w:rsidRPr="008F14CB">
        <w:t xml:space="preserve"> </w:t>
      </w:r>
      <w:r w:rsidRPr="008F14CB">
        <w:rPr>
          <w:rFonts w:hint="eastAsia"/>
          <w:rtl/>
        </w:rPr>
        <w:t>את</w:t>
      </w:r>
      <w:r w:rsidRPr="008F14CB">
        <w:t xml:space="preserve"> </w:t>
      </w:r>
      <w:r w:rsidRPr="008F14CB">
        <w:rPr>
          <w:rFonts w:hint="eastAsia"/>
          <w:rtl/>
        </w:rPr>
        <w:t>השם</w:t>
      </w:r>
      <w:r w:rsidRPr="008F14CB">
        <w:t xml:space="preserve"> </w:t>
      </w:r>
      <w:r w:rsidRPr="008F14CB">
        <w:rPr>
          <w:rFonts w:hint="eastAsia"/>
          <w:rtl/>
        </w:rPr>
        <w:t>הנפוץ</w:t>
      </w:r>
      <w:r w:rsidRPr="008F14CB">
        <w:rPr>
          <w:rtl/>
        </w:rPr>
        <w:t xml:space="preserve">. </w:t>
      </w:r>
      <w:r w:rsidRPr="008F14CB">
        <w:rPr>
          <w:rFonts w:hint="eastAsia"/>
          <w:rtl/>
        </w:rPr>
        <w:t>תאריך</w:t>
      </w:r>
      <w:r w:rsidRPr="008F14CB">
        <w:t xml:space="preserve"> </w:t>
      </w:r>
      <w:r w:rsidRPr="008F14CB">
        <w:rPr>
          <w:rFonts w:hint="eastAsia"/>
          <w:rtl/>
        </w:rPr>
        <w:t>התפוגה</w:t>
      </w:r>
      <w:r w:rsidRPr="008F14CB">
        <w:rPr>
          <w:rtl/>
        </w:rPr>
        <w:t xml:space="preserve"> </w:t>
      </w:r>
      <w:r w:rsidRPr="008F14CB">
        <w:rPr>
          <w:rFonts w:hint="eastAsia"/>
          <w:rtl/>
        </w:rPr>
        <w:t>יכול</w:t>
      </w:r>
      <w:r w:rsidRPr="008F14CB">
        <w:t xml:space="preserve"> </w:t>
      </w:r>
      <w:r w:rsidRPr="008F14CB">
        <w:rPr>
          <w:rFonts w:hint="eastAsia"/>
          <w:rtl/>
        </w:rPr>
        <w:t>להיות</w:t>
      </w:r>
      <w:r w:rsidRPr="008F14CB">
        <w:t xml:space="preserve"> </w:t>
      </w:r>
      <w:r w:rsidRPr="008F14CB">
        <w:rPr>
          <w:rFonts w:hint="eastAsia"/>
          <w:rtl/>
        </w:rPr>
        <w:t>מסומן</w:t>
      </w:r>
      <w:r w:rsidRPr="008F14CB">
        <w:t xml:space="preserve"> </w:t>
      </w:r>
      <w:r w:rsidRPr="008F14CB">
        <w:rPr>
          <w:rFonts w:hint="eastAsia"/>
          <w:rtl/>
        </w:rPr>
        <w:t>אבל</w:t>
      </w:r>
      <w:r w:rsidRPr="008F14CB">
        <w:t xml:space="preserve"> </w:t>
      </w:r>
      <w:r w:rsidRPr="008F14CB">
        <w:rPr>
          <w:rFonts w:hint="eastAsia"/>
          <w:rtl/>
        </w:rPr>
        <w:t>אין</w:t>
      </w:r>
      <w:r w:rsidRPr="008F14CB">
        <w:t xml:space="preserve"> </w:t>
      </w:r>
      <w:r w:rsidRPr="008F14CB">
        <w:rPr>
          <w:rFonts w:hint="eastAsia"/>
          <w:rtl/>
        </w:rPr>
        <w:t>חובה</w:t>
      </w:r>
      <w:r w:rsidRPr="008F14CB">
        <w:t xml:space="preserve"> </w:t>
      </w:r>
      <w:r w:rsidRPr="008F14CB">
        <w:rPr>
          <w:rFonts w:hint="eastAsia"/>
          <w:rtl/>
        </w:rPr>
        <w:t>לכך</w:t>
      </w:r>
      <w:r w:rsidRPr="008F14CB">
        <w:rPr>
          <w:rtl/>
        </w:rPr>
        <w:t xml:space="preserve"> </w:t>
      </w:r>
      <w:r w:rsidRPr="008F14CB">
        <w:rPr>
          <w:rFonts w:hint="eastAsia"/>
          <w:rtl/>
        </w:rPr>
        <w:t>משום</w:t>
      </w:r>
      <w:r w:rsidRPr="008F14CB">
        <w:t xml:space="preserve"> </w:t>
      </w:r>
      <w:r w:rsidRPr="008F14CB">
        <w:rPr>
          <w:rFonts w:hint="eastAsia"/>
          <w:rtl/>
        </w:rPr>
        <w:t>שסימון</w:t>
      </w:r>
      <w:r w:rsidRPr="008F14CB">
        <w:t xml:space="preserve"> </w:t>
      </w:r>
      <w:r w:rsidRPr="008F14CB">
        <w:rPr>
          <w:rFonts w:hint="eastAsia"/>
          <w:rtl/>
        </w:rPr>
        <w:t>זה</w:t>
      </w:r>
      <w:r w:rsidRPr="008F14CB">
        <w:t xml:space="preserve"> </w:t>
      </w:r>
      <w:r w:rsidRPr="008F14CB">
        <w:rPr>
          <w:rFonts w:hint="eastAsia"/>
          <w:rtl/>
        </w:rPr>
        <w:t>לא</w:t>
      </w:r>
      <w:r w:rsidRPr="008F14CB">
        <w:t xml:space="preserve"> </w:t>
      </w:r>
      <w:r w:rsidRPr="008F14CB">
        <w:rPr>
          <w:rFonts w:hint="eastAsia"/>
          <w:rtl/>
        </w:rPr>
        <w:t>תמיד</w:t>
      </w:r>
      <w:r w:rsidRPr="008F14CB">
        <w:t xml:space="preserve"> </w:t>
      </w:r>
      <w:r w:rsidRPr="008F14CB">
        <w:rPr>
          <w:rFonts w:hint="eastAsia"/>
          <w:rtl/>
        </w:rPr>
        <w:t>אפשרי</w:t>
      </w:r>
      <w:r w:rsidRPr="008F14CB">
        <w:t>.</w:t>
      </w:r>
      <w:r w:rsidRPr="008F14CB">
        <w:rPr>
          <w:rtl/>
        </w:rPr>
        <w:t xml:space="preserve"> </w:t>
      </w:r>
      <w:r w:rsidRPr="008F14CB">
        <w:rPr>
          <w:rFonts w:hint="cs"/>
          <w:rtl/>
        </w:rPr>
        <w:t>על</w:t>
      </w:r>
      <w:r w:rsidRPr="008F14CB">
        <w:t xml:space="preserve"> </w:t>
      </w:r>
      <w:r w:rsidRPr="008F14CB">
        <w:rPr>
          <w:rFonts w:hint="cs"/>
          <w:rtl/>
        </w:rPr>
        <w:t>המשווק</w:t>
      </w:r>
      <w:r w:rsidRPr="008F14CB">
        <w:t xml:space="preserve"> </w:t>
      </w:r>
      <w:r w:rsidRPr="008F14CB">
        <w:rPr>
          <w:rFonts w:hint="cs"/>
          <w:rtl/>
        </w:rPr>
        <w:t>המורשה</w:t>
      </w:r>
      <w:r w:rsidRPr="008F14CB">
        <w:t xml:space="preserve"> </w:t>
      </w:r>
      <w:r w:rsidRPr="008F14CB">
        <w:rPr>
          <w:rFonts w:hint="cs"/>
          <w:rtl/>
        </w:rPr>
        <w:t>לוודא</w:t>
      </w:r>
      <w:r w:rsidRPr="008F14CB">
        <w:t xml:space="preserve"> </w:t>
      </w:r>
      <w:r w:rsidRPr="008F14CB">
        <w:rPr>
          <w:rFonts w:hint="cs"/>
          <w:rtl/>
        </w:rPr>
        <w:t>כי</w:t>
      </w:r>
      <w:r w:rsidRPr="008F14CB">
        <w:t xml:space="preserve"> </w:t>
      </w:r>
      <w:r w:rsidRPr="008F14CB">
        <w:rPr>
          <w:rFonts w:hint="cs"/>
          <w:rtl/>
        </w:rPr>
        <w:t>העלון</w:t>
      </w:r>
      <w:r w:rsidRPr="008F14CB">
        <w:t xml:space="preserve"> </w:t>
      </w:r>
      <w:r w:rsidRPr="008F14CB">
        <w:rPr>
          <w:rFonts w:hint="cs"/>
          <w:rtl/>
        </w:rPr>
        <w:t>למשתמש</w:t>
      </w:r>
      <w:r w:rsidRPr="008F14CB">
        <w:t xml:space="preserve"> </w:t>
      </w:r>
      <w:r w:rsidRPr="008F14CB">
        <w:rPr>
          <w:rFonts w:hint="cs"/>
          <w:rtl/>
        </w:rPr>
        <w:t>בכתב</w:t>
      </w:r>
      <w:r w:rsidRPr="008F14CB">
        <w:t xml:space="preserve"> </w:t>
      </w:r>
      <w:r w:rsidRPr="008F14CB">
        <w:rPr>
          <w:rFonts w:hint="cs"/>
          <w:rtl/>
        </w:rPr>
        <w:t>ברייל</w:t>
      </w:r>
      <w:r w:rsidRPr="008F14CB">
        <w:t xml:space="preserve"> </w:t>
      </w:r>
      <w:r w:rsidRPr="008F14CB">
        <w:rPr>
          <w:rFonts w:hint="cs"/>
          <w:rtl/>
        </w:rPr>
        <w:t>זמין</w:t>
      </w:r>
      <w:r w:rsidRPr="008F14CB">
        <w:t xml:space="preserve"> </w:t>
      </w:r>
      <w:r w:rsidRPr="008F14CB">
        <w:rPr>
          <w:rFonts w:hint="cs"/>
          <w:rtl/>
        </w:rPr>
        <w:t>ויינתן</w:t>
      </w:r>
      <w:r w:rsidRPr="008F14CB">
        <w:t xml:space="preserve"> </w:t>
      </w:r>
      <w:r w:rsidRPr="008F14CB">
        <w:rPr>
          <w:rFonts w:hint="cs"/>
          <w:rtl/>
        </w:rPr>
        <w:t>לפי</w:t>
      </w:r>
      <w:r w:rsidRPr="008F14CB">
        <w:t xml:space="preserve"> </w:t>
      </w:r>
      <w:r w:rsidRPr="008F14CB">
        <w:rPr>
          <w:rFonts w:hint="cs"/>
          <w:rtl/>
        </w:rPr>
        <w:t>בקשתם</w:t>
      </w:r>
      <w:r w:rsidRPr="008F14CB">
        <w:t xml:space="preserve"> </w:t>
      </w:r>
      <w:r w:rsidRPr="008F14CB">
        <w:rPr>
          <w:rFonts w:hint="cs"/>
          <w:rtl/>
        </w:rPr>
        <w:t>של לקוחות</w:t>
      </w:r>
      <w:r w:rsidRPr="008F14CB">
        <w:t xml:space="preserve"> </w:t>
      </w:r>
      <w:r w:rsidRPr="008F14CB">
        <w:rPr>
          <w:rFonts w:hint="cs"/>
          <w:rtl/>
        </w:rPr>
        <w:t>עיוורים</w:t>
      </w:r>
      <w:r w:rsidRPr="008F14CB">
        <w:t xml:space="preserve"> </w:t>
      </w:r>
      <w:r w:rsidRPr="008F14CB">
        <w:rPr>
          <w:rFonts w:hint="cs"/>
          <w:rtl/>
        </w:rPr>
        <w:t>או</w:t>
      </w:r>
      <w:r w:rsidRPr="008F14CB">
        <w:t xml:space="preserve"> </w:t>
      </w:r>
      <w:r w:rsidRPr="008F14CB">
        <w:rPr>
          <w:rFonts w:hint="cs"/>
          <w:rtl/>
        </w:rPr>
        <w:t>לקויי</w:t>
      </w:r>
      <w:r w:rsidRPr="008F14CB">
        <w:t xml:space="preserve"> </w:t>
      </w:r>
      <w:r w:rsidRPr="008F14CB">
        <w:rPr>
          <w:rFonts w:hint="cs"/>
          <w:rtl/>
        </w:rPr>
        <w:t>ראייה. באריזות</w:t>
      </w:r>
      <w:r w:rsidRPr="008F14CB">
        <w:t xml:space="preserve"> </w:t>
      </w:r>
      <w:r w:rsidRPr="008F14CB">
        <w:rPr>
          <w:rFonts w:hint="eastAsia"/>
          <w:rtl/>
        </w:rPr>
        <w:t>של</w:t>
      </w:r>
      <w:r w:rsidRPr="008F14CB">
        <w:t xml:space="preserve"> </w:t>
      </w:r>
      <w:r w:rsidRPr="008F14CB">
        <w:rPr>
          <w:rFonts w:hint="eastAsia"/>
          <w:rtl/>
        </w:rPr>
        <w:t>מוצרים</w:t>
      </w:r>
      <w:r w:rsidRPr="008F14CB">
        <w:t xml:space="preserve"> </w:t>
      </w:r>
      <w:r w:rsidRPr="008F14CB">
        <w:rPr>
          <w:rFonts w:hint="eastAsia"/>
          <w:rtl/>
        </w:rPr>
        <w:t>שנפחם</w:t>
      </w:r>
      <w:r w:rsidRPr="008F14CB">
        <w:t xml:space="preserve"> </w:t>
      </w:r>
      <w:r w:rsidRPr="008F14CB">
        <w:rPr>
          <w:rFonts w:hint="eastAsia"/>
          <w:rtl/>
        </w:rPr>
        <w:t>קטן</w:t>
      </w:r>
      <w:r w:rsidRPr="008F14CB">
        <w:rPr>
          <w:rFonts w:hint="cs"/>
          <w:rtl/>
        </w:rPr>
        <w:t xml:space="preserve"> </w:t>
      </w:r>
      <w:r w:rsidRPr="008F14CB">
        <w:rPr>
          <w:rtl/>
        </w:rPr>
        <w:t>(</w:t>
      </w:r>
      <w:r w:rsidRPr="008F14CB">
        <w:rPr>
          <w:rFonts w:hint="eastAsia"/>
          <w:rtl/>
        </w:rPr>
        <w:t>עד</w:t>
      </w:r>
      <w:r w:rsidRPr="008F14CB">
        <w:rPr>
          <w:rFonts w:hint="cs"/>
          <w:rtl/>
        </w:rPr>
        <w:t xml:space="preserve"> 10 </w:t>
      </w:r>
      <w:r w:rsidRPr="008F14CB">
        <w:rPr>
          <w:rFonts w:hint="eastAsia"/>
          <w:rtl/>
        </w:rPr>
        <w:t>מ</w:t>
      </w:r>
      <w:r w:rsidRPr="008F14CB">
        <w:t>"</w:t>
      </w:r>
      <w:r w:rsidRPr="008F14CB">
        <w:rPr>
          <w:rFonts w:hint="eastAsia"/>
          <w:rtl/>
        </w:rPr>
        <w:t>ל</w:t>
      </w:r>
      <w:r w:rsidRPr="008F14CB">
        <w:rPr>
          <w:rtl/>
        </w:rPr>
        <w:t xml:space="preserve">) </w:t>
      </w:r>
      <w:r w:rsidRPr="008F14CB">
        <w:rPr>
          <w:rFonts w:hint="eastAsia"/>
          <w:rtl/>
        </w:rPr>
        <w:t>ושטחן</w:t>
      </w:r>
      <w:r w:rsidRPr="008F14CB">
        <w:t xml:space="preserve"> </w:t>
      </w:r>
      <w:r w:rsidRPr="008F14CB">
        <w:rPr>
          <w:rFonts w:hint="eastAsia"/>
          <w:rtl/>
        </w:rPr>
        <w:t>מוגבל</w:t>
      </w:r>
      <w:r w:rsidRPr="008F14CB">
        <w:t xml:space="preserve"> </w:t>
      </w:r>
      <w:r w:rsidRPr="008F14CB">
        <w:rPr>
          <w:rFonts w:hint="eastAsia"/>
          <w:rtl/>
        </w:rPr>
        <w:t>אפשר</w:t>
      </w:r>
      <w:r w:rsidRPr="008F14CB">
        <w:t xml:space="preserve"> </w:t>
      </w:r>
      <w:r w:rsidRPr="008F14CB">
        <w:rPr>
          <w:rFonts w:hint="eastAsia"/>
          <w:rtl/>
        </w:rPr>
        <w:t>לסמן</w:t>
      </w:r>
      <w:r w:rsidRPr="008F14CB">
        <w:t xml:space="preserve"> </w:t>
      </w:r>
      <w:r w:rsidRPr="008F14CB">
        <w:rPr>
          <w:rFonts w:hint="eastAsia"/>
          <w:rtl/>
        </w:rPr>
        <w:t>בברייל</w:t>
      </w:r>
      <w:r w:rsidRPr="008F14CB">
        <w:t xml:space="preserve"> </w:t>
      </w:r>
      <w:r w:rsidRPr="008F14CB">
        <w:rPr>
          <w:rFonts w:hint="eastAsia"/>
          <w:rtl/>
        </w:rPr>
        <w:t>קיצורים</w:t>
      </w:r>
      <w:r w:rsidRPr="008F14CB">
        <w:rPr>
          <w:rtl/>
        </w:rPr>
        <w:t xml:space="preserve"> </w:t>
      </w:r>
      <w:r w:rsidRPr="008F14CB">
        <w:rPr>
          <w:rFonts w:hint="eastAsia"/>
          <w:rtl/>
        </w:rPr>
        <w:t>מוסכמים</w:t>
      </w:r>
      <w:r w:rsidRPr="008F14CB">
        <w:rPr>
          <w:rtl/>
        </w:rPr>
        <w:t xml:space="preserve">. </w:t>
      </w:r>
      <w:r>
        <w:rPr>
          <w:rFonts w:hint="cs"/>
          <w:rtl/>
        </w:rPr>
        <w:t xml:space="preserve">עוד נכתב כי </w:t>
      </w:r>
      <w:r w:rsidRPr="008F14CB">
        <w:rPr>
          <w:rFonts w:hint="eastAsia"/>
          <w:rtl/>
        </w:rPr>
        <w:t>תשומת</w:t>
      </w:r>
      <w:r w:rsidRPr="008F14CB">
        <w:t xml:space="preserve"> </w:t>
      </w:r>
      <w:r w:rsidRPr="008F14CB">
        <w:rPr>
          <w:rFonts w:hint="eastAsia"/>
          <w:rtl/>
        </w:rPr>
        <w:t>לב</w:t>
      </w:r>
      <w:r w:rsidRPr="008F14CB">
        <w:t xml:space="preserve"> </w:t>
      </w:r>
      <w:r w:rsidRPr="008F14CB">
        <w:rPr>
          <w:rFonts w:hint="eastAsia"/>
          <w:rtl/>
        </w:rPr>
        <w:t>מיוחדת</w:t>
      </w:r>
      <w:r w:rsidRPr="008F14CB">
        <w:t xml:space="preserve"> </w:t>
      </w:r>
      <w:r w:rsidRPr="008F14CB">
        <w:rPr>
          <w:rFonts w:hint="eastAsia"/>
          <w:rtl/>
        </w:rPr>
        <w:t>יש</w:t>
      </w:r>
      <w:r w:rsidRPr="008F14CB">
        <w:t xml:space="preserve"> </w:t>
      </w:r>
      <w:r w:rsidRPr="008F14CB">
        <w:rPr>
          <w:rFonts w:hint="eastAsia"/>
          <w:rtl/>
        </w:rPr>
        <w:t>לתת</w:t>
      </w:r>
      <w:r w:rsidRPr="008F14CB">
        <w:t xml:space="preserve"> </w:t>
      </w:r>
      <w:r w:rsidRPr="008F14CB">
        <w:rPr>
          <w:rFonts w:hint="eastAsia"/>
          <w:rtl/>
        </w:rPr>
        <w:t>למוצרים</w:t>
      </w:r>
      <w:r w:rsidRPr="008F14CB">
        <w:t xml:space="preserve"> </w:t>
      </w:r>
      <w:r w:rsidRPr="008F14CB">
        <w:rPr>
          <w:rFonts w:hint="eastAsia"/>
          <w:rtl/>
        </w:rPr>
        <w:t>רפואיים</w:t>
      </w:r>
      <w:r w:rsidRPr="008F14CB">
        <w:t xml:space="preserve"> </w:t>
      </w:r>
      <w:r w:rsidRPr="008F14CB">
        <w:rPr>
          <w:rFonts w:hint="eastAsia"/>
          <w:rtl/>
        </w:rPr>
        <w:t>המשמשים</w:t>
      </w:r>
      <w:r w:rsidRPr="008F14CB">
        <w:t xml:space="preserve"> </w:t>
      </w:r>
      <w:r w:rsidRPr="008F14CB">
        <w:rPr>
          <w:rFonts w:hint="eastAsia"/>
          <w:rtl/>
        </w:rPr>
        <w:t>את</w:t>
      </w:r>
      <w:r w:rsidRPr="008F14CB">
        <w:t xml:space="preserve"> </w:t>
      </w:r>
      <w:r w:rsidRPr="008F14CB">
        <w:rPr>
          <w:rFonts w:hint="eastAsia"/>
          <w:rtl/>
        </w:rPr>
        <w:t>אוכלוסיית</w:t>
      </w:r>
      <w:r w:rsidRPr="008F14CB">
        <w:t xml:space="preserve"> </w:t>
      </w:r>
      <w:r w:rsidRPr="008F14CB">
        <w:rPr>
          <w:rFonts w:hint="eastAsia"/>
          <w:rtl/>
        </w:rPr>
        <w:t>לקויי</w:t>
      </w:r>
      <w:r w:rsidRPr="008F14CB">
        <w:rPr>
          <w:rtl/>
        </w:rPr>
        <w:t xml:space="preserve"> </w:t>
      </w:r>
      <w:r w:rsidRPr="008F14CB">
        <w:rPr>
          <w:rFonts w:hint="eastAsia"/>
          <w:rtl/>
        </w:rPr>
        <w:t>הראייה</w:t>
      </w:r>
      <w:r w:rsidRPr="008F14CB">
        <w:t xml:space="preserve"> </w:t>
      </w:r>
      <w:r w:rsidRPr="008F14CB">
        <w:rPr>
          <w:rFonts w:hint="eastAsia"/>
          <w:rtl/>
        </w:rPr>
        <w:t>באופן</w:t>
      </w:r>
      <w:r w:rsidRPr="008F14CB">
        <w:t xml:space="preserve"> </w:t>
      </w:r>
      <w:r w:rsidRPr="008F14CB">
        <w:rPr>
          <w:rFonts w:hint="eastAsia"/>
          <w:rtl/>
        </w:rPr>
        <w:t>ספציפי</w:t>
      </w:r>
      <w:r>
        <w:rPr>
          <w:rFonts w:hint="cs"/>
          <w:rtl/>
        </w:rPr>
        <w:t xml:space="preserve">, </w:t>
      </w:r>
      <w:r w:rsidRPr="008F14CB">
        <w:rPr>
          <w:rFonts w:hint="eastAsia"/>
          <w:rtl/>
        </w:rPr>
        <w:t>כמו</w:t>
      </w:r>
      <w:r w:rsidRPr="008F14CB">
        <w:t xml:space="preserve"> </w:t>
      </w:r>
      <w:r w:rsidRPr="008F14CB">
        <w:rPr>
          <w:rFonts w:hint="eastAsia"/>
          <w:rtl/>
        </w:rPr>
        <w:t>טיפות</w:t>
      </w:r>
      <w:r w:rsidRPr="008F14CB">
        <w:t xml:space="preserve"> </w:t>
      </w:r>
      <w:r w:rsidRPr="008F14CB">
        <w:rPr>
          <w:rFonts w:hint="eastAsia"/>
          <w:rtl/>
        </w:rPr>
        <w:t>עיניים</w:t>
      </w:r>
      <w:r w:rsidRPr="008F14CB">
        <w:t xml:space="preserve"> </w:t>
      </w:r>
      <w:r>
        <w:rPr>
          <w:rFonts w:hint="cs"/>
          <w:rtl/>
        </w:rPr>
        <w:t>ו</w:t>
      </w:r>
      <w:r w:rsidRPr="008F14CB">
        <w:rPr>
          <w:rFonts w:hint="cs"/>
          <w:rtl/>
        </w:rPr>
        <w:t>אם</w:t>
      </w:r>
      <w:r w:rsidRPr="008F14CB">
        <w:t xml:space="preserve"> </w:t>
      </w:r>
      <w:r w:rsidRPr="008F14CB">
        <w:rPr>
          <w:rFonts w:hint="cs"/>
          <w:rtl/>
        </w:rPr>
        <w:t>נוהגות</w:t>
      </w:r>
      <w:r w:rsidRPr="008F14CB">
        <w:t xml:space="preserve"> </w:t>
      </w:r>
      <w:r w:rsidRPr="008F14CB">
        <w:rPr>
          <w:rFonts w:hint="cs"/>
          <w:rtl/>
        </w:rPr>
        <w:t>במדינה</w:t>
      </w:r>
      <w:r w:rsidRPr="008F14CB">
        <w:t xml:space="preserve"> </w:t>
      </w:r>
      <w:r w:rsidRPr="008F14CB">
        <w:rPr>
          <w:rFonts w:hint="cs"/>
          <w:rtl/>
        </w:rPr>
        <w:t>שפות</w:t>
      </w:r>
      <w:r w:rsidRPr="008F14CB">
        <w:t xml:space="preserve"> </w:t>
      </w:r>
      <w:r w:rsidRPr="008F14CB">
        <w:rPr>
          <w:rFonts w:hint="cs"/>
          <w:rtl/>
        </w:rPr>
        <w:t>רשמיות</w:t>
      </w:r>
      <w:r w:rsidRPr="008F14CB">
        <w:t xml:space="preserve"> </w:t>
      </w:r>
      <w:r w:rsidRPr="008F14CB">
        <w:rPr>
          <w:rFonts w:hint="cs"/>
          <w:rtl/>
        </w:rPr>
        <w:t>מרובות</w:t>
      </w:r>
      <w:r w:rsidRPr="008F14CB">
        <w:t xml:space="preserve"> </w:t>
      </w:r>
      <w:r w:rsidRPr="008F14CB">
        <w:rPr>
          <w:rFonts w:hint="cs"/>
          <w:rtl/>
        </w:rPr>
        <w:t>יש</w:t>
      </w:r>
      <w:r w:rsidRPr="008F14CB">
        <w:t xml:space="preserve"> </w:t>
      </w:r>
      <w:r w:rsidRPr="008F14CB">
        <w:rPr>
          <w:rFonts w:hint="cs"/>
          <w:rtl/>
        </w:rPr>
        <w:t>לסמן</w:t>
      </w:r>
      <w:r w:rsidRPr="008F14CB">
        <w:t xml:space="preserve"> </w:t>
      </w:r>
      <w:r w:rsidRPr="008F14CB">
        <w:rPr>
          <w:rFonts w:hint="cs"/>
          <w:rtl/>
        </w:rPr>
        <w:t>בכתב</w:t>
      </w:r>
      <w:r w:rsidRPr="008F14CB">
        <w:t xml:space="preserve"> </w:t>
      </w:r>
      <w:r w:rsidRPr="008F14CB">
        <w:rPr>
          <w:rFonts w:hint="cs"/>
          <w:rtl/>
        </w:rPr>
        <w:t>ברייל</w:t>
      </w:r>
      <w:r w:rsidRPr="008F14CB">
        <w:t xml:space="preserve"> </w:t>
      </w:r>
      <w:r w:rsidRPr="008F14CB">
        <w:rPr>
          <w:rFonts w:hint="cs"/>
          <w:rtl/>
        </w:rPr>
        <w:t>בכל</w:t>
      </w:r>
      <w:r w:rsidRPr="008F14CB">
        <w:t xml:space="preserve"> </w:t>
      </w:r>
      <w:r w:rsidRPr="008F14CB">
        <w:rPr>
          <w:rFonts w:hint="cs"/>
          <w:rtl/>
        </w:rPr>
        <w:t>השפות</w:t>
      </w:r>
      <w:r w:rsidRPr="008F14CB">
        <w:t>.</w:t>
      </w:r>
    </w:p>
    <w:p w14:paraId="46BB91E2" w14:textId="1A2CB064" w:rsidR="00D15950" w:rsidRDefault="00B05548" w:rsidP="00DB7CE1">
      <w:pPr>
        <w:pStyle w:val="Hesber"/>
        <w:rPr>
          <w:rtl/>
        </w:rPr>
      </w:pPr>
      <w:r w:rsidRPr="008F14CB">
        <w:rPr>
          <w:rFonts w:hint="cs"/>
          <w:rtl/>
        </w:rPr>
        <w:t>מטרת הצעת החוק היא לאפשר לאוכלוסייה בעלת מוגבלויו</w:t>
      </w:r>
      <w:r w:rsidRPr="008F14CB">
        <w:rPr>
          <w:rFonts w:hint="eastAsia"/>
          <w:rtl/>
        </w:rPr>
        <w:t>ת</w:t>
      </w:r>
      <w:r w:rsidRPr="008F14CB">
        <w:rPr>
          <w:rFonts w:hint="cs"/>
          <w:rtl/>
        </w:rPr>
        <w:t xml:space="preserve"> לקבל שוויון זכויות בנגישות ובקבלת מידע צ</w:t>
      </w:r>
      <w:r>
        <w:rPr>
          <w:rFonts w:hint="cs"/>
          <w:rtl/>
        </w:rPr>
        <w:t xml:space="preserve">רכני רפואי </w:t>
      </w:r>
      <w:r w:rsidR="006D73F3">
        <w:rPr>
          <w:rFonts w:hint="cs"/>
          <w:rtl/>
        </w:rPr>
        <w:t>שניתן ל</w:t>
      </w:r>
      <w:r>
        <w:rPr>
          <w:rFonts w:hint="cs"/>
          <w:rtl/>
        </w:rPr>
        <w:t>כלל הצרכנים בישראל</w:t>
      </w:r>
      <w:r w:rsidRPr="008F14CB">
        <w:rPr>
          <w:rFonts w:hint="cs"/>
          <w:rtl/>
        </w:rPr>
        <w:t>. לצורך כך, מוצע</w:t>
      </w:r>
      <w:r w:rsidR="0038255F">
        <w:rPr>
          <w:rFonts w:hint="cs"/>
          <w:rtl/>
        </w:rPr>
        <w:t>,</w:t>
      </w:r>
      <w:r w:rsidRPr="008F14CB">
        <w:rPr>
          <w:rFonts w:hint="cs"/>
          <w:rtl/>
        </w:rPr>
        <w:t xml:space="preserve"> כי על גבי תכשיר רפואי ייכתב בכתב ברייל שם התכשיר ואת החובה לעיין בעלון לצרכן טרם השימוש, באופן שיסייע ויקל על אוכלוסיית העיוורים ולקויי הראייה לקבל מידע חיוני והכרחי על מנת לצרוך תרופות ותכשירים רפואיים</w:t>
      </w:r>
      <w:r w:rsidR="00A97330">
        <w:rPr>
          <w:rFonts w:hint="cs"/>
          <w:rtl/>
        </w:rPr>
        <w:t xml:space="preserve"> בשפה המובנת להם</w:t>
      </w:r>
      <w:r w:rsidRPr="008F14CB">
        <w:rPr>
          <w:rFonts w:hint="cs"/>
          <w:rtl/>
        </w:rPr>
        <w:t>.</w:t>
      </w:r>
      <w:r>
        <w:rPr>
          <w:rFonts w:hint="cs"/>
          <w:rtl/>
        </w:rPr>
        <w:t xml:space="preserve"> </w:t>
      </w:r>
    </w:p>
    <w:p w14:paraId="1FB70E0F" w14:textId="0A85D231" w:rsidR="00B05548" w:rsidRDefault="00B05548" w:rsidP="009060DA">
      <w:pPr>
        <w:pStyle w:val="Hesber"/>
        <w:rPr>
          <w:rtl/>
        </w:rPr>
      </w:pPr>
      <w:r>
        <w:rPr>
          <w:rFonts w:hint="cs"/>
          <w:rtl/>
        </w:rPr>
        <w:t xml:space="preserve">הצעת חוק </w:t>
      </w:r>
      <w:r w:rsidR="00DB7CE1">
        <w:rPr>
          <w:rFonts w:hint="cs"/>
          <w:rtl/>
        </w:rPr>
        <w:t>דומה בעיקרה</w:t>
      </w:r>
      <w:r>
        <w:rPr>
          <w:rFonts w:hint="cs"/>
          <w:rtl/>
        </w:rPr>
        <w:t xml:space="preserve"> </w:t>
      </w:r>
      <w:r w:rsidR="009060DA">
        <w:rPr>
          <w:rFonts w:hint="cs"/>
          <w:rtl/>
        </w:rPr>
        <w:t xml:space="preserve">הונחה </w:t>
      </w:r>
      <w:r>
        <w:rPr>
          <w:rFonts w:hint="cs"/>
          <w:rtl/>
        </w:rPr>
        <w:t>על שולח</w:t>
      </w:r>
      <w:r w:rsidR="009060DA">
        <w:rPr>
          <w:rFonts w:hint="cs"/>
          <w:rtl/>
        </w:rPr>
        <w:t>ן</w:t>
      </w:r>
      <w:r>
        <w:rPr>
          <w:rFonts w:hint="cs"/>
          <w:rtl/>
        </w:rPr>
        <w:t xml:space="preserve"> הכנסת העשרים </w:t>
      </w:r>
      <w:r w:rsidR="007A2D45">
        <w:rPr>
          <w:rFonts w:hint="cs"/>
          <w:rtl/>
        </w:rPr>
        <w:t xml:space="preserve">על </w:t>
      </w:r>
      <w:r>
        <w:rPr>
          <w:rFonts w:hint="cs"/>
          <w:rtl/>
        </w:rPr>
        <w:t>ידי חבר הכנסת מיקי רוזנטל</w:t>
      </w:r>
      <w:r w:rsidR="0038255F">
        <w:rPr>
          <w:rFonts w:hint="cs"/>
          <w:rtl/>
        </w:rPr>
        <w:t xml:space="preserve"> </w:t>
      </w:r>
      <w:r>
        <w:rPr>
          <w:rFonts w:hint="cs"/>
          <w:rtl/>
        </w:rPr>
        <w:t>(פ/138/20)</w:t>
      </w:r>
      <w:r w:rsidR="0038255F">
        <w:rPr>
          <w:rFonts w:hint="cs"/>
          <w:rtl/>
        </w:rPr>
        <w:t>.</w:t>
      </w:r>
    </w:p>
    <w:p w14:paraId="2C7BDE6A" w14:textId="6305BB7C" w:rsidR="00590AA3" w:rsidRDefault="00590AA3" w:rsidP="009060DA">
      <w:pPr>
        <w:pStyle w:val="Hesber"/>
        <w:rPr>
          <w:rtl/>
        </w:rPr>
      </w:pPr>
    </w:p>
    <w:p w14:paraId="087A9DD5" w14:textId="77777777" w:rsidR="00590AA3" w:rsidRDefault="00590AA3" w:rsidP="009060DA">
      <w:pPr>
        <w:pStyle w:val="Hesber"/>
        <w:rPr>
          <w:rtl/>
        </w:rPr>
      </w:pPr>
    </w:p>
    <w:p w14:paraId="440F974B" w14:textId="77777777" w:rsidR="00590AA3" w:rsidRPr="00D73212" w:rsidRDefault="00590AA3" w:rsidP="00590AA3">
      <w:pPr>
        <w:pStyle w:val="Hesber"/>
        <w:rPr>
          <w:color w:val="auto"/>
          <w:rtl/>
          <w:lang w:eastAsia="en-US"/>
        </w:rPr>
      </w:pPr>
      <w:r w:rsidRPr="00D73212">
        <w:rPr>
          <w:color w:val="auto"/>
          <w:rtl/>
          <w:lang w:eastAsia="en-US"/>
        </w:rPr>
        <w:t>---------------------------------</w:t>
      </w:r>
    </w:p>
    <w:p w14:paraId="252BF024" w14:textId="77777777" w:rsidR="00590AA3" w:rsidRPr="00D73212" w:rsidRDefault="00590AA3" w:rsidP="00590AA3">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21A84B07" w14:textId="77777777" w:rsidR="00590AA3" w:rsidRPr="00D73212" w:rsidRDefault="00590AA3" w:rsidP="00590AA3">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77FAC009" w14:textId="50531CFD" w:rsidR="00590AA3" w:rsidRDefault="00590AA3" w:rsidP="00590AA3">
      <w:pPr>
        <w:pStyle w:val="Hesber"/>
        <w:rPr>
          <w:rtl/>
        </w:rPr>
      </w:pPr>
      <w:r>
        <w:rPr>
          <w:rFonts w:hint="cs"/>
          <w:color w:val="auto"/>
          <w:rtl/>
          <w:lang w:eastAsia="en-US"/>
        </w:rPr>
        <w:t>כ' בחשוון</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 xml:space="preserve">ט </w:t>
      </w:r>
      <w:r w:rsidRPr="00D73212">
        <w:rPr>
          <w:color w:val="auto"/>
          <w:rtl/>
          <w:lang w:eastAsia="en-US"/>
        </w:rPr>
        <w:t>–</w:t>
      </w:r>
      <w:r>
        <w:rPr>
          <w:rFonts w:hint="cs"/>
          <w:color w:val="auto"/>
          <w:rtl/>
          <w:lang w:eastAsia="en-US"/>
        </w:rPr>
        <w:t xml:space="preserve"> 29.10</w:t>
      </w:r>
      <w:r w:rsidRPr="00D73212">
        <w:rPr>
          <w:color w:val="auto"/>
          <w:rtl/>
          <w:lang w:eastAsia="en-US"/>
        </w:rPr>
        <w:t>.</w:t>
      </w:r>
      <w:r>
        <w:rPr>
          <w:rFonts w:hint="cs"/>
          <w:color w:val="auto"/>
          <w:rtl/>
          <w:lang w:eastAsia="en-US"/>
        </w:rPr>
        <w:t>18</w:t>
      </w:r>
      <w:bookmarkStart w:id="8" w:name="_GoBack"/>
      <w:bookmarkEnd w:id="8"/>
    </w:p>
    <w:p w14:paraId="7F6961CB" w14:textId="77777777"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590AA3">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44FFFA66" w14:textId="77777777" w:rsidR="00B05548" w:rsidRDefault="00B05548" w:rsidP="00B05548">
      <w:pPr>
        <w:pStyle w:val="a4"/>
        <w:rPr>
          <w:rtl/>
        </w:rPr>
      </w:pPr>
      <w:r>
        <w:rPr>
          <w:rStyle w:val="a5"/>
        </w:rPr>
        <w:footnoteRef/>
      </w:r>
      <w:r>
        <w:rPr>
          <w:rtl/>
        </w:rPr>
        <w:t xml:space="preserve"> </w:t>
      </w:r>
      <w:r>
        <w:rPr>
          <w:rFonts w:hint="cs"/>
          <w:rtl/>
        </w:rPr>
        <w:t>דיני מדינת ישראל, נוסח חדש 35, עמ' 694.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43EAF"/>
    <w:rsid w:val="0036422C"/>
    <w:rsid w:val="003710F6"/>
    <w:rsid w:val="0038255F"/>
    <w:rsid w:val="00386E88"/>
    <w:rsid w:val="0038714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90AA3"/>
    <w:rsid w:val="005B064E"/>
    <w:rsid w:val="005D51AE"/>
    <w:rsid w:val="005F2E9C"/>
    <w:rsid w:val="0062674B"/>
    <w:rsid w:val="006363B2"/>
    <w:rsid w:val="00644940"/>
    <w:rsid w:val="006818A9"/>
    <w:rsid w:val="006A2D81"/>
    <w:rsid w:val="006C1D0D"/>
    <w:rsid w:val="006D73F3"/>
    <w:rsid w:val="0070601E"/>
    <w:rsid w:val="00712C72"/>
    <w:rsid w:val="00735FE9"/>
    <w:rsid w:val="00763CAA"/>
    <w:rsid w:val="00765F66"/>
    <w:rsid w:val="0078664F"/>
    <w:rsid w:val="007A0DD7"/>
    <w:rsid w:val="007A27CE"/>
    <w:rsid w:val="007A2D45"/>
    <w:rsid w:val="007C3FA6"/>
    <w:rsid w:val="007D585A"/>
    <w:rsid w:val="007D5A12"/>
    <w:rsid w:val="007E3D5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2B2A"/>
    <w:rsid w:val="008E6EC7"/>
    <w:rsid w:val="008F0D63"/>
    <w:rsid w:val="008F1308"/>
    <w:rsid w:val="008F2C35"/>
    <w:rsid w:val="008F6665"/>
    <w:rsid w:val="00904591"/>
    <w:rsid w:val="00905E5F"/>
    <w:rsid w:val="009060DA"/>
    <w:rsid w:val="0091204F"/>
    <w:rsid w:val="009203DB"/>
    <w:rsid w:val="00923CD4"/>
    <w:rsid w:val="00930EFE"/>
    <w:rsid w:val="00943386"/>
    <w:rsid w:val="009456B6"/>
    <w:rsid w:val="00957589"/>
    <w:rsid w:val="00966D06"/>
    <w:rsid w:val="00982412"/>
    <w:rsid w:val="00983A8D"/>
    <w:rsid w:val="009861EF"/>
    <w:rsid w:val="009906D2"/>
    <w:rsid w:val="009A0DB8"/>
    <w:rsid w:val="009A7257"/>
    <w:rsid w:val="009D6E0A"/>
    <w:rsid w:val="009E1E33"/>
    <w:rsid w:val="00A14672"/>
    <w:rsid w:val="00A26BD6"/>
    <w:rsid w:val="00A443CF"/>
    <w:rsid w:val="00A6611D"/>
    <w:rsid w:val="00A82CB7"/>
    <w:rsid w:val="00A942C1"/>
    <w:rsid w:val="00A97330"/>
    <w:rsid w:val="00AA2F03"/>
    <w:rsid w:val="00AA5A2F"/>
    <w:rsid w:val="00AC36F7"/>
    <w:rsid w:val="00AC63A4"/>
    <w:rsid w:val="00AD239E"/>
    <w:rsid w:val="00B05548"/>
    <w:rsid w:val="00B10265"/>
    <w:rsid w:val="00B16A99"/>
    <w:rsid w:val="00B21211"/>
    <w:rsid w:val="00B35784"/>
    <w:rsid w:val="00B733A7"/>
    <w:rsid w:val="00B75C91"/>
    <w:rsid w:val="00B975AD"/>
    <w:rsid w:val="00BC45FB"/>
    <w:rsid w:val="00BF148D"/>
    <w:rsid w:val="00C01C0B"/>
    <w:rsid w:val="00C23B1A"/>
    <w:rsid w:val="00C310EB"/>
    <w:rsid w:val="00C9176A"/>
    <w:rsid w:val="00CF1AA2"/>
    <w:rsid w:val="00D142D3"/>
    <w:rsid w:val="00D15950"/>
    <w:rsid w:val="00D17774"/>
    <w:rsid w:val="00D63620"/>
    <w:rsid w:val="00D8410D"/>
    <w:rsid w:val="00D867D7"/>
    <w:rsid w:val="00DB7060"/>
    <w:rsid w:val="00DB7CE1"/>
    <w:rsid w:val="00DE3153"/>
    <w:rsid w:val="00E06736"/>
    <w:rsid w:val="00E13C27"/>
    <w:rsid w:val="00E33BBD"/>
    <w:rsid w:val="00E374F2"/>
    <w:rsid w:val="00E45103"/>
    <w:rsid w:val="00E55A60"/>
    <w:rsid w:val="00E62778"/>
    <w:rsid w:val="00E635A2"/>
    <w:rsid w:val="00E63D38"/>
    <w:rsid w:val="00E665B9"/>
    <w:rsid w:val="00E66B54"/>
    <w:rsid w:val="00EA01E6"/>
    <w:rsid w:val="00EA3DE8"/>
    <w:rsid w:val="00EA758F"/>
    <w:rsid w:val="00EC4FF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BB68A75B-CAFF-476D-BC7F-D56919EC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67C43ABF-4CD1-4EEE-82D2-3F7BD4F3E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AFC65F-493F-4416-B866-88A647C2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539</Words>
  <Characters>3074</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חנה קרליץ</cp:lastModifiedBy>
  <cp:revision>17</cp:revision>
  <cp:lastPrinted>2018-10-25T10:54:00Z</cp:lastPrinted>
  <dcterms:created xsi:type="dcterms:W3CDTF">2015-04-20T09:58:00Z</dcterms:created>
  <dcterms:modified xsi:type="dcterms:W3CDTF">2018-10-25T10:58:00Z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2074873</vt:r8>
  </property>
</Properties>
</file>