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2020716</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מכלוף מיקי זוהר</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C" w14:textId="1F597045" w:rsidR="00E13C27" w:rsidRDefault="00904591" w:rsidP="00433899">
      <w:pPr>
        <w:pStyle w:val="David"/>
        <w:spacing w:before="0" w:line="240" w:lineRule="auto"/>
        <w:ind w:left="3544"/>
        <w:rPr>
          <w:rtl/>
        </w:rPr>
      </w:pPr>
      <w:r>
        <w:t xml:space="preserve">                                            </w:t>
      </w:r>
      <w:bookmarkStart w:id="6" w:name="Private_Number"/>
      <w:r>
        <w:rPr>
          <w:rFonts w:hint="cs"/>
          <w:rtl/>
        </w:rPr>
        <w:t>פ/5719/20</w:t>
      </w:r>
      <w:bookmarkEnd w:id="6"/>
    </w:p>
    <w:p w14:paraId="7F6961AE" w14:textId="70E90D06" w:rsidR="00E13C27" w:rsidRDefault="00A443CF" w:rsidP="009E209B">
      <w:pPr>
        <w:pStyle w:val="HeadHatzaotHok"/>
        <w:rPr>
          <w:rtl/>
        </w:rPr>
      </w:pPr>
      <w:bookmarkStart w:id="7" w:name="LGS_Subject"/>
      <w:r>
        <w:rPr>
          <w:rFonts w:hint="cs"/>
          <w:rtl/>
        </w:rPr>
        <w:t>הצעת חוק פיצוי לנפגעי פוליו (תיקון – הכרה באחוזי נכות של נפגע פוליו לצורך דינים אחרים), התשע"ט–</w:t>
      </w:r>
      <w:bookmarkEnd w:id="7"/>
      <w:r w:rsidR="00820D34">
        <w:rPr>
          <w:rFonts w:hint="cs"/>
          <w:rtl/>
        </w:rPr>
        <w:t>2018</w:t>
      </w:r>
    </w:p>
    <w:tbl>
      <w:tblPr>
        <w:bidiVisual/>
        <w:tblW w:w="9639"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521"/>
      </w:tblGrid>
      <w:tr w:rsidR="00DB67CE" w:rsidRPr="00B56E5E" w:rsidDel="00DB67CE" w14:paraId="6A6B6F75" w14:textId="77777777" w:rsidTr="00310BB5">
        <w:trPr>
          <w:cantSplit/>
        </w:trPr>
        <w:tc>
          <w:tcPr>
            <w:tcW w:w="1870" w:type="dxa"/>
          </w:tcPr>
          <w:p w14:paraId="115C12AE" w14:textId="1424E47D" w:rsidR="00DB67CE" w:rsidDel="00DB67CE" w:rsidRDefault="00DB67CE" w:rsidP="00B13845">
            <w:pPr>
              <w:pStyle w:val="TableSideHeading"/>
              <w:ind w:right="0"/>
              <w:rPr>
                <w:rtl/>
              </w:rPr>
            </w:pPr>
            <w:r>
              <w:rPr>
                <w:rFonts w:hint="cs"/>
                <w:rtl/>
              </w:rPr>
              <w:t>תיקון סעיף 7</w:t>
            </w:r>
          </w:p>
        </w:tc>
        <w:tc>
          <w:tcPr>
            <w:tcW w:w="624" w:type="dxa"/>
          </w:tcPr>
          <w:p w14:paraId="14455CC1" w14:textId="665E4E93" w:rsidR="00DB67CE" w:rsidDel="00DB67CE" w:rsidRDefault="00DB67CE" w:rsidP="00310BB5">
            <w:pPr>
              <w:pStyle w:val="TableText"/>
              <w:rPr>
                <w:rtl/>
              </w:rPr>
            </w:pPr>
            <w:r>
              <w:rPr>
                <w:rFonts w:hint="cs"/>
                <w:rtl/>
              </w:rPr>
              <w:t>1.</w:t>
            </w:r>
          </w:p>
        </w:tc>
        <w:tc>
          <w:tcPr>
            <w:tcW w:w="7145" w:type="dxa"/>
            <w:gridSpan w:val="2"/>
          </w:tcPr>
          <w:p w14:paraId="44040CCA" w14:textId="244A67A4" w:rsidR="00DB67CE" w:rsidDel="00DB67CE" w:rsidRDefault="00DB67CE" w:rsidP="00DB67CE">
            <w:pPr>
              <w:pStyle w:val="TableBlock"/>
              <w:rPr>
                <w:rtl/>
              </w:rPr>
            </w:pPr>
            <w:r>
              <w:rPr>
                <w:rFonts w:hint="cs"/>
                <w:rtl/>
              </w:rPr>
              <w:t>בחוק פיצוי לנפגעי פוליו, התשס"ז</w:t>
            </w:r>
            <w:r>
              <w:rPr>
                <w:rFonts w:hint="eastAsia"/>
                <w:rtl/>
              </w:rPr>
              <w:t>–</w:t>
            </w:r>
            <w:r>
              <w:rPr>
                <w:rFonts w:hint="cs"/>
                <w:rtl/>
              </w:rPr>
              <w:t>2007</w:t>
            </w:r>
            <w:r>
              <w:rPr>
                <w:rStyle w:val="a5"/>
                <w:rtl/>
              </w:rPr>
              <w:footnoteReference w:id="2"/>
            </w:r>
            <w:r>
              <w:rPr>
                <w:rFonts w:hint="cs"/>
                <w:rtl/>
              </w:rPr>
              <w:t xml:space="preserve">, בסעיף 7 </w:t>
            </w:r>
            <w:r>
              <w:rPr>
                <w:rFonts w:hint="eastAsia"/>
                <w:rtl/>
              </w:rPr>
              <w:t>–</w:t>
            </w:r>
          </w:p>
        </w:tc>
      </w:tr>
      <w:tr w:rsidR="00DB67CE" w:rsidRPr="00B56E5E" w:rsidDel="00DB67CE" w14:paraId="5F29F104" w14:textId="77777777" w:rsidTr="00310BB5">
        <w:trPr>
          <w:cantSplit/>
        </w:trPr>
        <w:tc>
          <w:tcPr>
            <w:tcW w:w="1870" w:type="dxa"/>
          </w:tcPr>
          <w:p w14:paraId="59538890" w14:textId="77777777" w:rsidR="00DB67CE" w:rsidRDefault="00DB67CE" w:rsidP="00B13845">
            <w:pPr>
              <w:pStyle w:val="TableSideHeading"/>
              <w:ind w:right="0"/>
              <w:rPr>
                <w:rtl/>
              </w:rPr>
            </w:pPr>
          </w:p>
        </w:tc>
        <w:tc>
          <w:tcPr>
            <w:tcW w:w="624" w:type="dxa"/>
          </w:tcPr>
          <w:p w14:paraId="74AAD327" w14:textId="77777777" w:rsidR="00DB67CE" w:rsidDel="00DB67CE" w:rsidRDefault="00DB67CE" w:rsidP="00DB67CE">
            <w:pPr>
              <w:pStyle w:val="TableText"/>
              <w:rPr>
                <w:rtl/>
              </w:rPr>
            </w:pPr>
          </w:p>
        </w:tc>
        <w:tc>
          <w:tcPr>
            <w:tcW w:w="7145" w:type="dxa"/>
            <w:gridSpan w:val="2"/>
          </w:tcPr>
          <w:p w14:paraId="58736D03" w14:textId="576AE461" w:rsidR="00DB67CE" w:rsidRDefault="00DB67CE" w:rsidP="000A4B13">
            <w:pPr>
              <w:pStyle w:val="TableBlock"/>
              <w:rPr>
                <w:rtl/>
              </w:rPr>
            </w:pPr>
            <w:r>
              <w:rPr>
                <w:rFonts w:hint="cs"/>
                <w:rtl/>
              </w:rPr>
              <w:t>(1)</w:t>
            </w:r>
            <w:r>
              <w:rPr>
                <w:rtl/>
              </w:rPr>
              <w:tab/>
            </w:r>
            <w:r>
              <w:rPr>
                <w:rFonts w:hint="cs"/>
                <w:rtl/>
              </w:rPr>
              <w:t xml:space="preserve">בסעיף קטן (ג), לפני "נקבעו לאדם" יבוא "הסכם בדבר גמלת ניידות שנערך לפי סעיף 9 לחוק הביטוח הלאומי (בסעיף קטן זה </w:t>
            </w:r>
            <w:r>
              <w:rPr>
                <w:rFonts w:hint="eastAsia"/>
                <w:rtl/>
              </w:rPr>
              <w:t>–</w:t>
            </w:r>
            <w:r>
              <w:rPr>
                <w:rFonts w:hint="cs"/>
                <w:rtl/>
              </w:rPr>
              <w:t xml:space="preserve"> "ההסכם") יחול גם לעניין מי שהוכר כנפגע פוליו לפי חוק זה;" והמילים "בדבר גמלת ניידות לפי סעיף 9 לחוק הביטוח הלאומי</w:t>
            </w:r>
            <w:r w:rsidR="000A4B13">
              <w:rPr>
                <w:rFonts w:hint="cs"/>
                <w:rtl/>
              </w:rPr>
              <w:t xml:space="preserve">" </w:t>
            </w:r>
            <w:r w:rsidR="000A4B13">
              <w:rPr>
                <w:rtl/>
              </w:rPr>
              <w:t>–</w:t>
            </w:r>
            <w:r w:rsidR="000A4B13">
              <w:rPr>
                <w:rFonts w:hint="cs"/>
                <w:rtl/>
              </w:rPr>
              <w:t xml:space="preserve"> יימחקו;</w:t>
            </w:r>
          </w:p>
        </w:tc>
      </w:tr>
      <w:tr w:rsidR="00DB67CE" w:rsidRPr="00B56E5E" w:rsidDel="00DB67CE" w14:paraId="044A6C52" w14:textId="77777777" w:rsidTr="00310BB5">
        <w:trPr>
          <w:cantSplit/>
        </w:trPr>
        <w:tc>
          <w:tcPr>
            <w:tcW w:w="1870" w:type="dxa"/>
          </w:tcPr>
          <w:p w14:paraId="4660FED9" w14:textId="77777777" w:rsidR="00DB67CE" w:rsidRDefault="00DB67CE" w:rsidP="00B13845">
            <w:pPr>
              <w:pStyle w:val="TableSideHeading"/>
              <w:ind w:right="0"/>
              <w:rPr>
                <w:rtl/>
              </w:rPr>
            </w:pPr>
          </w:p>
        </w:tc>
        <w:tc>
          <w:tcPr>
            <w:tcW w:w="624" w:type="dxa"/>
          </w:tcPr>
          <w:p w14:paraId="121DB0BD" w14:textId="77777777" w:rsidR="00DB67CE" w:rsidDel="00DB67CE" w:rsidRDefault="00DB67CE" w:rsidP="00DB67CE">
            <w:pPr>
              <w:pStyle w:val="TableText"/>
              <w:rPr>
                <w:rtl/>
              </w:rPr>
            </w:pPr>
          </w:p>
        </w:tc>
        <w:tc>
          <w:tcPr>
            <w:tcW w:w="7145" w:type="dxa"/>
            <w:gridSpan w:val="2"/>
          </w:tcPr>
          <w:p w14:paraId="1811F756" w14:textId="69206F05" w:rsidR="00DB67CE" w:rsidRDefault="00DB67CE" w:rsidP="006061CE">
            <w:pPr>
              <w:pStyle w:val="TableBlock"/>
              <w:rPr>
                <w:rtl/>
              </w:rPr>
            </w:pPr>
            <w:r>
              <w:rPr>
                <w:rFonts w:hint="cs"/>
                <w:rtl/>
              </w:rPr>
              <w:t>(2)</w:t>
            </w:r>
            <w:r w:rsidR="000A4B13">
              <w:rPr>
                <w:rtl/>
              </w:rPr>
              <w:tab/>
            </w:r>
            <w:r w:rsidR="000A4B13">
              <w:rPr>
                <w:rFonts w:hint="cs"/>
                <w:rtl/>
              </w:rPr>
              <w:t>אחרי סעיף קטן (ה) יבוא:</w:t>
            </w:r>
          </w:p>
        </w:tc>
      </w:tr>
      <w:tr w:rsidR="000A4B13" w14:paraId="746CB9A8" w14:textId="77777777" w:rsidTr="00310BB5">
        <w:trPr>
          <w:cantSplit/>
          <w:trHeight w:val="60"/>
        </w:trPr>
        <w:tc>
          <w:tcPr>
            <w:tcW w:w="1870" w:type="dxa"/>
          </w:tcPr>
          <w:p w14:paraId="631C808D" w14:textId="358CA010" w:rsidR="000A4B13" w:rsidRDefault="000A4B13">
            <w:pPr>
              <w:pStyle w:val="TableSideHeading"/>
            </w:pPr>
          </w:p>
        </w:tc>
        <w:tc>
          <w:tcPr>
            <w:tcW w:w="624" w:type="dxa"/>
          </w:tcPr>
          <w:p w14:paraId="577C8F4B" w14:textId="77777777" w:rsidR="000A4B13" w:rsidRDefault="000A4B13">
            <w:pPr>
              <w:pStyle w:val="TableText"/>
            </w:pPr>
          </w:p>
        </w:tc>
        <w:tc>
          <w:tcPr>
            <w:tcW w:w="624" w:type="dxa"/>
          </w:tcPr>
          <w:p w14:paraId="60920391" w14:textId="77777777" w:rsidR="000A4B13" w:rsidRDefault="000A4B13">
            <w:pPr>
              <w:pStyle w:val="TableText"/>
            </w:pPr>
          </w:p>
        </w:tc>
        <w:tc>
          <w:tcPr>
            <w:tcW w:w="6521" w:type="dxa"/>
          </w:tcPr>
          <w:p w14:paraId="5C9FAAEA" w14:textId="263BDE78" w:rsidR="000A4B13" w:rsidRDefault="000A4B13" w:rsidP="00D20AB6">
            <w:pPr>
              <w:pStyle w:val="TableBlock"/>
            </w:pPr>
            <w:r>
              <w:rPr>
                <w:rFonts w:hint="cs"/>
                <w:rtl/>
              </w:rPr>
              <w:t>"(ו)</w:t>
            </w:r>
            <w:r>
              <w:rPr>
                <w:rtl/>
              </w:rPr>
              <w:tab/>
            </w:r>
            <w:r>
              <w:rPr>
                <w:rFonts w:hint="cs"/>
                <w:rtl/>
              </w:rPr>
              <w:t>נקבעו לאדם בשל מחלת הפוליו שבה לקה אחוזי נכות לפי חוק זה, תחול הקביעה כאמור גם על זכויות המגיעות לו בשל מחלת</w:t>
            </w:r>
            <w:r w:rsidR="00D20AB6">
              <w:rPr>
                <w:rFonts w:hint="cs"/>
                <w:rtl/>
              </w:rPr>
              <w:t>ו,</w:t>
            </w:r>
            <w:r w:rsidR="009E209B">
              <w:rPr>
                <w:rFonts w:hint="cs"/>
                <w:rtl/>
              </w:rPr>
              <w:t xml:space="preserve"> מכוח כל דין.</w:t>
            </w:r>
            <w:r w:rsidR="00842E16">
              <w:rPr>
                <w:rFonts w:hint="cs"/>
                <w:rtl/>
              </w:rPr>
              <w:t>"</w:t>
            </w:r>
          </w:p>
        </w:tc>
      </w:tr>
    </w:tbl>
    <w:p w14:paraId="7F6961CA" w14:textId="77777777" w:rsidR="002D1EE3" w:rsidRDefault="002D1EE3" w:rsidP="002D1EE3">
      <w:pPr>
        <w:pStyle w:val="HeadDivreiHesber"/>
        <w:rPr>
          <w:rtl/>
        </w:rPr>
      </w:pPr>
      <w:r w:rsidRPr="0027450A">
        <w:rPr>
          <w:rFonts w:hint="cs"/>
          <w:rtl/>
        </w:rPr>
        <w:t>דברי הסבר</w:t>
      </w:r>
    </w:p>
    <w:p w14:paraId="33966182" w14:textId="77777777" w:rsidR="00310BB5" w:rsidRPr="00F2302B" w:rsidRDefault="00310BB5" w:rsidP="009E209B">
      <w:pPr>
        <w:pStyle w:val="Hesber"/>
        <w:spacing w:line="276" w:lineRule="auto"/>
      </w:pPr>
      <w:r w:rsidRPr="00F2302B">
        <w:rPr>
          <w:rFonts w:hint="cs"/>
          <w:rtl/>
        </w:rPr>
        <w:t xml:space="preserve">חוק פיצוי לנפגעי פוליו, התשס"ז–2007 (להלן – חוק הפוליו), קובע כי מי שנולד בישראל וחלה במחלת הפוליו, יהיה זכאי לפיצוי חד-פעמי ולקצבה חודשית בהתאם לאחוזי הנכות שנקבעו לו. </w:t>
      </w:r>
    </w:p>
    <w:p w14:paraId="2B278122" w14:textId="134D649B" w:rsidR="00310BB5" w:rsidRPr="00F2302B" w:rsidRDefault="00310BB5" w:rsidP="009E209B">
      <w:pPr>
        <w:pStyle w:val="Hesber"/>
        <w:spacing w:line="276" w:lineRule="auto"/>
        <w:rPr>
          <w:rtl/>
        </w:rPr>
      </w:pPr>
      <w:r w:rsidRPr="00F2302B">
        <w:rPr>
          <w:rFonts w:hint="cs"/>
          <w:rtl/>
        </w:rPr>
        <w:t>כיום, מי שהוכר לפי חוק הפוליו נאלץ להגיש בקשה נפרדת לשם מימוש זכויותיו הנובעות מחוקים שונים, וכן להופיע שוב ושוב בפני ועדות רפוא</w:t>
      </w:r>
      <w:r w:rsidR="00842E16">
        <w:rPr>
          <w:rFonts w:hint="cs"/>
          <w:rtl/>
        </w:rPr>
        <w:t xml:space="preserve">יות של המוסד לביטוח לאומי, </w:t>
      </w:r>
      <w:r w:rsidRPr="00F2302B">
        <w:rPr>
          <w:rFonts w:hint="cs"/>
          <w:rtl/>
        </w:rPr>
        <w:t>משום שמדובר בגמלאות שונות המעוגנות בחוקים שונים.</w:t>
      </w:r>
    </w:p>
    <w:p w14:paraId="2591C514" w14:textId="77777777" w:rsidR="00310BB5" w:rsidRPr="00F2302B" w:rsidRDefault="00310BB5" w:rsidP="009E209B">
      <w:pPr>
        <w:pStyle w:val="Hesber"/>
        <w:spacing w:line="276" w:lineRule="auto"/>
        <w:rPr>
          <w:rtl/>
        </w:rPr>
      </w:pPr>
      <w:r w:rsidRPr="00F2302B">
        <w:rPr>
          <w:rFonts w:hint="cs"/>
          <w:rtl/>
        </w:rPr>
        <w:t xml:space="preserve">מטרת הצעת החוק היא לפשט את ההליכים ולקבוע כי אחוזי נכות שנקבעו לנפגעי פוליו לפי חוק הפוליו, ישמשו גם לצורך זכאויות המגיעות לו בשל מחלתו מכוח דינים אחרים, לרבות חוק הביטוח הלאומי [נוסח משולב], התשנ''ה–1995 (להלן – חוק הביטוח הלאומי). </w:t>
      </w:r>
    </w:p>
    <w:p w14:paraId="64424DEE" w14:textId="77777777" w:rsidR="00310BB5" w:rsidRDefault="00310BB5" w:rsidP="009E209B">
      <w:pPr>
        <w:pStyle w:val="Hesber"/>
        <w:spacing w:line="276" w:lineRule="auto"/>
        <w:rPr>
          <w:rtl/>
        </w:rPr>
      </w:pPr>
      <w:r w:rsidRPr="00F2302B">
        <w:rPr>
          <w:rFonts w:hint="cs"/>
          <w:rtl/>
        </w:rPr>
        <w:t xml:space="preserve">כמו כן, מוצע להבהיר כי הוראות ההסכם בדבר גמלת ניידות שנערך לפי סעיף 9 לחוק הביטוח הלאומי, יחול גם לעניין נפגעי הפוליו.  </w:t>
      </w:r>
    </w:p>
    <w:p w14:paraId="5C426AAF" w14:textId="562E780D" w:rsidR="00820D34" w:rsidRDefault="00820D34" w:rsidP="009E209B">
      <w:pPr>
        <w:pStyle w:val="Hesber"/>
        <w:spacing w:line="276" w:lineRule="auto"/>
        <w:rPr>
          <w:rtl/>
        </w:rPr>
      </w:pPr>
      <w:r>
        <w:rPr>
          <w:rFonts w:hint="cs"/>
          <w:rtl/>
        </w:rPr>
        <w:t>הצעת חוק זהה הונחה על שולחן הכנסת העשרים על ידי חבר הכנסת מיכאל מלכיאלי (פ/5600/20).</w:t>
      </w:r>
    </w:p>
    <w:p w14:paraId="0B2651A0" w14:textId="2DE2846D" w:rsidR="009E209B" w:rsidRDefault="009E209B" w:rsidP="009E209B">
      <w:pPr>
        <w:pStyle w:val="Hesber"/>
        <w:spacing w:line="276" w:lineRule="auto"/>
        <w:rPr>
          <w:rtl/>
        </w:rPr>
      </w:pPr>
    </w:p>
    <w:p w14:paraId="1B72FDBB" w14:textId="77777777" w:rsidR="009E209B" w:rsidRPr="00D73212" w:rsidRDefault="009E209B" w:rsidP="009E209B">
      <w:pPr>
        <w:pStyle w:val="Hesber"/>
        <w:rPr>
          <w:color w:val="auto"/>
          <w:rtl/>
          <w:lang w:eastAsia="en-US"/>
        </w:rPr>
      </w:pPr>
      <w:r w:rsidRPr="00D73212">
        <w:rPr>
          <w:color w:val="auto"/>
          <w:rtl/>
          <w:lang w:eastAsia="en-US"/>
        </w:rPr>
        <w:t>---------------------------------</w:t>
      </w:r>
    </w:p>
    <w:p w14:paraId="257CA974" w14:textId="77777777" w:rsidR="009E209B" w:rsidRPr="00D73212" w:rsidRDefault="009E209B" w:rsidP="009E209B">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3A7D9BA9" w14:textId="77777777" w:rsidR="009E209B" w:rsidRPr="00D73212" w:rsidRDefault="009E209B" w:rsidP="009E209B">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4B7DA2FC" w14:textId="7FC97809" w:rsidR="009E209B" w:rsidRPr="00F2302B" w:rsidRDefault="009E209B" w:rsidP="009E209B">
      <w:pPr>
        <w:pStyle w:val="Hesber"/>
        <w:spacing w:line="276" w:lineRule="auto"/>
        <w:rPr>
          <w:rtl/>
        </w:rPr>
      </w:pPr>
      <w:r>
        <w:rPr>
          <w:rFonts w:hint="cs"/>
          <w:color w:val="auto"/>
          <w:rtl/>
          <w:lang w:eastAsia="en-US"/>
        </w:rPr>
        <w:t>ו' בחשוון</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ט</w:t>
      </w:r>
      <w:r w:rsidRPr="00D73212">
        <w:rPr>
          <w:color w:val="auto"/>
          <w:rtl/>
          <w:lang w:eastAsia="en-US"/>
        </w:rPr>
        <w:t xml:space="preserve"> – </w:t>
      </w:r>
      <w:r>
        <w:rPr>
          <w:rFonts w:hint="cs"/>
          <w:color w:val="auto"/>
          <w:rtl/>
          <w:lang w:eastAsia="en-US"/>
        </w:rPr>
        <w:t>15.10</w:t>
      </w:r>
      <w:r w:rsidRPr="00D73212">
        <w:rPr>
          <w:color w:val="auto"/>
          <w:rtl/>
          <w:lang w:eastAsia="en-US"/>
        </w:rPr>
        <w:t>.</w:t>
      </w:r>
      <w:r>
        <w:rPr>
          <w:rFonts w:hint="cs"/>
          <w:color w:val="auto"/>
          <w:rtl/>
          <w:lang w:eastAsia="en-US"/>
        </w:rPr>
        <w:t>18</w:t>
      </w:r>
      <w:bookmarkStart w:id="8" w:name="_GoBack"/>
      <w:bookmarkEnd w:id="8"/>
    </w:p>
    <w:sectPr w:rsidR="009E209B" w:rsidRPr="00F2302B"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9E209B">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23AC832E" w14:textId="5A850F06" w:rsidR="00DB67CE" w:rsidRDefault="00DB67CE">
      <w:pPr>
        <w:pStyle w:val="a4"/>
      </w:pPr>
      <w:r>
        <w:rPr>
          <w:rStyle w:val="a5"/>
        </w:rPr>
        <w:footnoteRef/>
      </w:r>
      <w:r>
        <w:rPr>
          <w:rtl/>
        </w:rPr>
        <w:t xml:space="preserve"> </w:t>
      </w:r>
      <w:r>
        <w:rPr>
          <w:rFonts w:hint="cs"/>
          <w:rtl/>
        </w:rPr>
        <w:t>ס"ח התשס"ז, עמ' 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021EE"/>
    <w:rsid w:val="00015B27"/>
    <w:rsid w:val="00063A3E"/>
    <w:rsid w:val="00072CAC"/>
    <w:rsid w:val="0007681A"/>
    <w:rsid w:val="000A4B13"/>
    <w:rsid w:val="000A542E"/>
    <w:rsid w:val="00102B6B"/>
    <w:rsid w:val="001052D4"/>
    <w:rsid w:val="0010644B"/>
    <w:rsid w:val="001207F8"/>
    <w:rsid w:val="00121924"/>
    <w:rsid w:val="001279A8"/>
    <w:rsid w:val="0014195F"/>
    <w:rsid w:val="00152609"/>
    <w:rsid w:val="00153E1B"/>
    <w:rsid w:val="001A0623"/>
    <w:rsid w:val="001B48F9"/>
    <w:rsid w:val="001C23B0"/>
    <w:rsid w:val="001C35E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10BB5"/>
    <w:rsid w:val="003232A2"/>
    <w:rsid w:val="00325C14"/>
    <w:rsid w:val="00357590"/>
    <w:rsid w:val="0036422C"/>
    <w:rsid w:val="003710F6"/>
    <w:rsid w:val="00386E88"/>
    <w:rsid w:val="00396585"/>
    <w:rsid w:val="003D6E38"/>
    <w:rsid w:val="003D74A0"/>
    <w:rsid w:val="004033D8"/>
    <w:rsid w:val="004073F0"/>
    <w:rsid w:val="00412A7D"/>
    <w:rsid w:val="00416B4D"/>
    <w:rsid w:val="00417CFC"/>
    <w:rsid w:val="00433899"/>
    <w:rsid w:val="00470386"/>
    <w:rsid w:val="004A06DC"/>
    <w:rsid w:val="004B24ED"/>
    <w:rsid w:val="004B6625"/>
    <w:rsid w:val="004D2D82"/>
    <w:rsid w:val="004D3876"/>
    <w:rsid w:val="004E4552"/>
    <w:rsid w:val="004E6CDF"/>
    <w:rsid w:val="00553C9D"/>
    <w:rsid w:val="00562A66"/>
    <w:rsid w:val="005B064E"/>
    <w:rsid w:val="005D51AE"/>
    <w:rsid w:val="006061CE"/>
    <w:rsid w:val="0062674B"/>
    <w:rsid w:val="006363B2"/>
    <w:rsid w:val="00644940"/>
    <w:rsid w:val="006818A9"/>
    <w:rsid w:val="006A2D81"/>
    <w:rsid w:val="006C1D0D"/>
    <w:rsid w:val="006D02C5"/>
    <w:rsid w:val="0070601E"/>
    <w:rsid w:val="00712C72"/>
    <w:rsid w:val="00735FE9"/>
    <w:rsid w:val="00763CAA"/>
    <w:rsid w:val="00765F66"/>
    <w:rsid w:val="0078664F"/>
    <w:rsid w:val="007B4EE5"/>
    <w:rsid w:val="007C3FA6"/>
    <w:rsid w:val="007D585A"/>
    <w:rsid w:val="007D5A12"/>
    <w:rsid w:val="007E59F9"/>
    <w:rsid w:val="00810BCD"/>
    <w:rsid w:val="00812C98"/>
    <w:rsid w:val="00814D92"/>
    <w:rsid w:val="00820D34"/>
    <w:rsid w:val="0083181D"/>
    <w:rsid w:val="00842E16"/>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329CE"/>
    <w:rsid w:val="00943386"/>
    <w:rsid w:val="009456B6"/>
    <w:rsid w:val="00957589"/>
    <w:rsid w:val="00966D06"/>
    <w:rsid w:val="00982412"/>
    <w:rsid w:val="00983A8D"/>
    <w:rsid w:val="009A0DB8"/>
    <w:rsid w:val="009A7257"/>
    <w:rsid w:val="009D6E0A"/>
    <w:rsid w:val="009E1E33"/>
    <w:rsid w:val="009E209B"/>
    <w:rsid w:val="00A14672"/>
    <w:rsid w:val="00A26BD6"/>
    <w:rsid w:val="00A443CF"/>
    <w:rsid w:val="00A6611D"/>
    <w:rsid w:val="00A82CB7"/>
    <w:rsid w:val="00A942C1"/>
    <w:rsid w:val="00AA2F03"/>
    <w:rsid w:val="00AC36F7"/>
    <w:rsid w:val="00AC63A4"/>
    <w:rsid w:val="00AD239E"/>
    <w:rsid w:val="00B10265"/>
    <w:rsid w:val="00B13845"/>
    <w:rsid w:val="00B16A99"/>
    <w:rsid w:val="00B21211"/>
    <w:rsid w:val="00B35784"/>
    <w:rsid w:val="00B733A7"/>
    <w:rsid w:val="00B75C91"/>
    <w:rsid w:val="00B975AD"/>
    <w:rsid w:val="00BC45FB"/>
    <w:rsid w:val="00BF148D"/>
    <w:rsid w:val="00C23B1A"/>
    <w:rsid w:val="00C310EB"/>
    <w:rsid w:val="00C9176A"/>
    <w:rsid w:val="00CF1AA2"/>
    <w:rsid w:val="00D17774"/>
    <w:rsid w:val="00D20AB6"/>
    <w:rsid w:val="00D63620"/>
    <w:rsid w:val="00D8410D"/>
    <w:rsid w:val="00D867D7"/>
    <w:rsid w:val="00DB67CE"/>
    <w:rsid w:val="00DB7060"/>
    <w:rsid w:val="00DD3A42"/>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55730"/>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B163-4948-4878-BB81-2351463F8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D8D3B871-8D53-462B-A882-92F0618F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254</Words>
  <Characters>1454</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חנה קרליץ</cp:lastModifiedBy>
  <cp:revision>18</cp:revision>
  <cp:lastPrinted>2018-10-02T10:56:00Z</cp:lastPrinted>
  <dcterms:created xsi:type="dcterms:W3CDTF">2015-04-20T09:58:00Z</dcterms:created>
  <dcterms:modified xsi:type="dcterms:W3CDTF">2018-10-02T10:56:00Z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2020716</vt:r8>
  </property>
</Properties>
</file>