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rFonts w:cs="David"/>
          <w:b/>
          <w:bCs/>
          <w:sz w:val="20"/>
          <w:szCs w:val="20"/>
        </w:rPr>
      </w:pPr>
      <w:r w:rsidRPr="00E635A2">
        <w:rPr>
          <w:rFonts w:cs="David"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cs="David" w:hint="cs"/>
          <w:sz w:val="20"/>
          <w:szCs w:val="20"/>
          <w:rtl/>
        </w:rPr>
        <w:t>2068175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לאה פדידה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חמד עמאר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רוברט אילטוב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עודד פורר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אכרם חסון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מוסי רז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עיסאווי פריג'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סאלח סעד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יעל כהן-פארן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מיכל בירן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איתן ברושי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נחמן שי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איציק שמולי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עמר בר-לב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פנינה תמנו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יחיאל חיליק בר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איילת נחמיאס ורבין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סתיו שפיר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דב חנין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טלב אבו עראר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מסעוד גנאים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פ/5669/20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375A6EAF" w:rsidR="00E13C27" w:rsidRPr="00F67051" w:rsidRDefault="00A443CF" w:rsidP="00B67808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>הצעת חוק הביטוח הלאומי (תיקון – מתן מקדמה לנפגע תאונת עבודה), התשע"ח–2018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344C82" w:rsidRPr="00696F52" w14:paraId="7D3B50EF" w14:textId="77777777" w:rsidTr="0031022A">
        <w:trPr>
          <w:cantSplit/>
          <w:trHeight w:val="60"/>
        </w:trPr>
        <w:tc>
          <w:tcPr>
            <w:tcW w:w="1871" w:type="dxa"/>
          </w:tcPr>
          <w:p w14:paraId="5AD2FBB2" w14:textId="77777777" w:rsidR="00344C82" w:rsidRDefault="00344C82" w:rsidP="0031022A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 xml:space="preserve">תיקון סעיף 92 </w:t>
            </w:r>
          </w:p>
        </w:tc>
        <w:tc>
          <w:tcPr>
            <w:tcW w:w="624" w:type="dxa"/>
          </w:tcPr>
          <w:p w14:paraId="6B0EBD4B" w14:textId="77777777" w:rsidR="00344C82" w:rsidRDefault="00344C82" w:rsidP="0031022A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</w:tcPr>
          <w:p w14:paraId="2F80DA16" w14:textId="4FF6FA82" w:rsidR="00344C82" w:rsidRPr="00696F52" w:rsidRDefault="00344C82" w:rsidP="007563FE">
            <w:pPr>
              <w:pStyle w:val="TableHead"/>
              <w:keepLines w:val="0"/>
              <w:jc w:val="both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בחוק הביטוח הלאומי</w:t>
            </w:r>
            <w:r w:rsidR="007563FE">
              <w:rPr>
                <w:rFonts w:hint="cs"/>
                <w:b w:val="0"/>
                <w:bCs w:val="0"/>
                <w:rtl/>
              </w:rPr>
              <w:t xml:space="preserve"> [נוסח משולב], התשנ''ה</w:t>
            </w:r>
            <w:r w:rsidR="007563FE">
              <w:rPr>
                <w:rFonts w:hint="eastAsia"/>
                <w:b w:val="0"/>
                <w:bCs w:val="0"/>
                <w:rtl/>
              </w:rPr>
              <w:t>–</w:t>
            </w:r>
            <w:r w:rsidR="007563FE">
              <w:rPr>
                <w:rFonts w:hint="cs"/>
                <w:b w:val="0"/>
                <w:bCs w:val="0"/>
                <w:rtl/>
              </w:rPr>
              <w:t>1995</w:t>
            </w:r>
            <w:r w:rsidR="007563FE">
              <w:rPr>
                <w:rStyle w:val="a5"/>
                <w:b w:val="0"/>
                <w:bCs w:val="0"/>
                <w:rtl/>
              </w:rPr>
              <w:footnoteReference w:id="2"/>
            </w:r>
            <w:r>
              <w:rPr>
                <w:rFonts w:hint="cs"/>
                <w:b w:val="0"/>
                <w:bCs w:val="0"/>
                <w:rtl/>
              </w:rPr>
              <w:t>, בסעיף 92, אחרי סעיף קטן (ב) יבוא:</w:t>
            </w:r>
          </w:p>
        </w:tc>
      </w:tr>
      <w:tr w:rsidR="001C6F6D" w:rsidRPr="00696F52" w14:paraId="6B9C9598" w14:textId="77777777" w:rsidTr="0031022A">
        <w:trPr>
          <w:cantSplit/>
          <w:trHeight w:val="60"/>
        </w:trPr>
        <w:tc>
          <w:tcPr>
            <w:tcW w:w="1871" w:type="dxa"/>
          </w:tcPr>
          <w:p w14:paraId="5B504EE5" w14:textId="77777777" w:rsidR="001C6F6D" w:rsidRDefault="001C6F6D" w:rsidP="0031022A">
            <w:pPr>
              <w:pStyle w:val="TableSideHeading"/>
              <w:keepLines w:val="0"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14:paraId="32EF8587" w14:textId="77777777" w:rsidR="001C6F6D" w:rsidRDefault="001C6F6D" w:rsidP="0031022A">
            <w:pPr>
              <w:pStyle w:val="TableText"/>
              <w:keepLines w:val="0"/>
              <w:rPr>
                <w:rFonts w:hint="cs"/>
                <w:rtl/>
              </w:rPr>
            </w:pPr>
          </w:p>
        </w:tc>
        <w:tc>
          <w:tcPr>
            <w:tcW w:w="7146" w:type="dxa"/>
          </w:tcPr>
          <w:p w14:paraId="29E259D2" w14:textId="2ED237AE" w:rsidR="001C6F6D" w:rsidRDefault="001C6F6D" w:rsidP="001C6F6D">
            <w:pPr>
              <w:pStyle w:val="TableBlock"/>
              <w:rPr>
                <w:rFonts w:hint="cs"/>
                <w:rtl/>
              </w:rPr>
            </w:pPr>
            <w:r w:rsidRPr="009D4B11">
              <w:rPr>
                <w:rFonts w:hint="cs"/>
                <w:rtl/>
              </w:rPr>
              <w:t>"(ג)</w:t>
            </w:r>
            <w:r w:rsidRPr="009D4B11">
              <w:rPr>
                <w:rtl/>
              </w:rPr>
              <w:tab/>
            </w:r>
            <w:r w:rsidRPr="009D4B11">
              <w:rPr>
                <w:rFonts w:hint="cs"/>
                <w:rtl/>
              </w:rPr>
              <w:t>הוגשה למוסד תביעה לדמי פגיעה, שיש יסוד סביר להניח כי היא תאושר, ישלם המוסד לתוב</w:t>
            </w:r>
            <w:r w:rsidRPr="00B67808">
              <w:rPr>
                <w:rtl/>
              </w:rPr>
              <w:t>ע בתוך 14 ימים מיום הגשת התביעה תשלום חודשי בסכום שיקבע השר;</w:t>
            </w:r>
          </w:p>
        </w:tc>
      </w:tr>
      <w:tr w:rsidR="001C6F6D" w:rsidRPr="00696F52" w14:paraId="1A0E0AA9" w14:textId="77777777" w:rsidTr="0031022A">
        <w:trPr>
          <w:cantSplit/>
          <w:trHeight w:val="60"/>
        </w:trPr>
        <w:tc>
          <w:tcPr>
            <w:tcW w:w="1871" w:type="dxa"/>
          </w:tcPr>
          <w:p w14:paraId="424F218A" w14:textId="77777777" w:rsidR="001C6F6D" w:rsidRDefault="001C6F6D" w:rsidP="0031022A">
            <w:pPr>
              <w:pStyle w:val="TableSideHeading"/>
              <w:keepLines w:val="0"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14:paraId="70C68F29" w14:textId="77777777" w:rsidR="001C6F6D" w:rsidRDefault="001C6F6D" w:rsidP="001C6F6D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7146" w:type="dxa"/>
          </w:tcPr>
          <w:p w14:paraId="0C6F048B" w14:textId="456D4AB4" w:rsidR="001C6F6D" w:rsidRPr="009D4B11" w:rsidRDefault="001C6F6D" w:rsidP="001C6F6D">
            <w:pPr>
              <w:pStyle w:val="TableBlock"/>
              <w:rPr>
                <w:rFonts w:hint="cs"/>
                <w:rtl/>
              </w:rPr>
            </w:pPr>
            <w:r w:rsidRPr="004D06C8">
              <w:rPr>
                <w:rFonts w:hint="cs"/>
                <w:rtl/>
              </w:rPr>
              <w:t>(ד)</w:t>
            </w:r>
            <w:r w:rsidRPr="004D06C8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השר יקבע הוראות </w:t>
            </w:r>
            <w:r w:rsidRPr="004D06C8">
              <w:rPr>
                <w:rFonts w:hint="cs"/>
                <w:rtl/>
              </w:rPr>
              <w:t xml:space="preserve">בעניין קיזוז הפרשים בין הסכום ששילם </w:t>
            </w:r>
            <w:r>
              <w:rPr>
                <w:rFonts w:hint="cs"/>
                <w:rtl/>
              </w:rPr>
              <w:t xml:space="preserve">המוסד </w:t>
            </w:r>
            <w:r w:rsidRPr="004D06C8">
              <w:rPr>
                <w:rFonts w:hint="cs"/>
                <w:rtl/>
              </w:rPr>
              <w:t>למב</w:t>
            </w:r>
            <w:r>
              <w:rPr>
                <w:rFonts w:hint="cs"/>
                <w:rtl/>
              </w:rPr>
              <w:t>ו</w:t>
            </w:r>
            <w:r w:rsidRPr="004D06C8">
              <w:rPr>
                <w:rFonts w:hint="cs"/>
                <w:rtl/>
              </w:rPr>
              <w:t>טח לפי סעיף קטן (ג) לבין דמי הפגיעה שנקבע שהוא זכאי להם, מתשלומים שמגיעים למבוטח לפי חוק זה.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4B4CA44A" w14:textId="77777777" w:rsidR="00344C82" w:rsidRPr="00A83B50" w:rsidRDefault="00344C82" w:rsidP="00344C82">
      <w:pPr>
        <w:pStyle w:val="Hesber"/>
        <w:ind w:firstLine="0"/>
        <w:rPr>
          <w:rtl/>
        </w:rPr>
      </w:pPr>
    </w:p>
    <w:p w14:paraId="56478DCA" w14:textId="77777777" w:rsidR="00344C82" w:rsidRPr="00560997" w:rsidRDefault="00344C82" w:rsidP="00344C82">
      <w:pPr>
        <w:pStyle w:val="HeadDivreiHesber"/>
        <w:rPr>
          <w:rtl/>
        </w:rPr>
      </w:pPr>
      <w:r w:rsidRPr="00560997">
        <w:rPr>
          <w:rFonts w:hint="cs"/>
          <w:rtl/>
        </w:rPr>
        <w:t>דברי הסבר</w:t>
      </w:r>
    </w:p>
    <w:p w14:paraId="12174F3C" w14:textId="698F17D2" w:rsidR="00344C82" w:rsidRDefault="00344C82" w:rsidP="006E48DB">
      <w:pPr>
        <w:pStyle w:val="Hesber"/>
        <w:rPr>
          <w:rtl/>
        </w:rPr>
      </w:pPr>
      <w:r>
        <w:rPr>
          <w:rFonts w:hint="cs"/>
          <w:rtl/>
        </w:rPr>
        <w:t>ב</w:t>
      </w:r>
      <w:r w:rsidR="009D4B11">
        <w:rPr>
          <w:rFonts w:hint="cs"/>
          <w:rtl/>
        </w:rPr>
        <w:t>פרק ה' ל</w:t>
      </w:r>
      <w:r>
        <w:rPr>
          <w:rFonts w:hint="cs"/>
          <w:rtl/>
        </w:rPr>
        <w:t>חוק הביטוח הלאומי</w:t>
      </w:r>
      <w:r w:rsidR="009D4B11" w:rsidRPr="009D4B11">
        <w:rPr>
          <w:rFonts w:hint="cs"/>
          <w:b/>
          <w:bCs/>
          <w:rtl/>
        </w:rPr>
        <w:t xml:space="preserve"> </w:t>
      </w:r>
      <w:r w:rsidR="009D4B11" w:rsidRPr="00B67808">
        <w:rPr>
          <w:rtl/>
        </w:rPr>
        <w:t xml:space="preserve">[נוסח משולב], </w:t>
      </w:r>
      <w:r w:rsidR="009D4B11" w:rsidRPr="00B67808">
        <w:rPr>
          <w:rFonts w:hint="eastAsia"/>
          <w:rtl/>
        </w:rPr>
        <w:t>התשנ</w:t>
      </w:r>
      <w:r w:rsidR="009D4B11" w:rsidRPr="00B67808">
        <w:rPr>
          <w:rtl/>
        </w:rPr>
        <w:t>''ה</w:t>
      </w:r>
      <w:r w:rsidR="009D4B11" w:rsidRPr="00B67808">
        <w:rPr>
          <w:rFonts w:hint="eastAsia"/>
          <w:rtl/>
        </w:rPr>
        <w:t>–</w:t>
      </w:r>
      <w:r w:rsidR="009D4B11" w:rsidRPr="00B67808">
        <w:rPr>
          <w:rtl/>
        </w:rPr>
        <w:t>1995</w:t>
      </w:r>
      <w:r w:rsidR="009D4B11">
        <w:rPr>
          <w:rFonts w:hint="cs"/>
          <w:rtl/>
        </w:rPr>
        <w:t xml:space="preserve">, </w:t>
      </w:r>
      <w:r>
        <w:rPr>
          <w:rFonts w:hint="cs"/>
          <w:rtl/>
        </w:rPr>
        <w:t xml:space="preserve">נקבע כי עובד אשר </w:t>
      </w:r>
      <w:r w:rsidR="007563FE">
        <w:rPr>
          <w:rFonts w:hint="cs"/>
          <w:rtl/>
        </w:rPr>
        <w:t>נפגע בעבודה, יהיה</w:t>
      </w:r>
      <w:r>
        <w:rPr>
          <w:rFonts w:hint="cs"/>
          <w:rtl/>
        </w:rPr>
        <w:t xml:space="preserve"> זכאי לדמי פגיעה בעבור הימים אשר</w:t>
      </w:r>
      <w:r w:rsidR="006C2FD3">
        <w:rPr>
          <w:rFonts w:hint="cs"/>
          <w:rtl/>
        </w:rPr>
        <w:t xml:space="preserve"> בהם</w:t>
      </w:r>
      <w:r>
        <w:rPr>
          <w:rFonts w:hint="cs"/>
          <w:rtl/>
        </w:rPr>
        <w:t xml:space="preserve"> לא יכול לעבוד בשל ה</w:t>
      </w:r>
      <w:r w:rsidR="009D4B11">
        <w:rPr>
          <w:rFonts w:hint="cs"/>
          <w:rtl/>
        </w:rPr>
        <w:t>נ</w:t>
      </w:r>
      <w:r>
        <w:rPr>
          <w:rFonts w:hint="cs"/>
          <w:rtl/>
        </w:rPr>
        <w:t>זק שנגרם לו</w:t>
      </w:r>
      <w:r w:rsidR="009D4B11">
        <w:rPr>
          <w:rFonts w:hint="cs"/>
          <w:rtl/>
        </w:rPr>
        <w:t xml:space="preserve">. דמי </w:t>
      </w:r>
      <w:r w:rsidR="00F2481E">
        <w:rPr>
          <w:rFonts w:hint="cs"/>
          <w:rtl/>
        </w:rPr>
        <w:t>ה</w:t>
      </w:r>
      <w:r w:rsidR="009D4B11">
        <w:rPr>
          <w:rFonts w:hint="cs"/>
          <w:rtl/>
        </w:rPr>
        <w:t>פגיעה ישולמו לעובד בעד</w:t>
      </w:r>
      <w:r>
        <w:rPr>
          <w:rFonts w:hint="cs"/>
          <w:rtl/>
        </w:rPr>
        <w:t xml:space="preserve"> שלושה עשר שבועות</w:t>
      </w:r>
      <w:r w:rsidR="009D4B11">
        <w:rPr>
          <w:rFonts w:hint="cs"/>
          <w:rtl/>
        </w:rPr>
        <w:t xml:space="preserve"> בלבד</w:t>
      </w:r>
      <w:r>
        <w:rPr>
          <w:rFonts w:hint="cs"/>
          <w:rtl/>
        </w:rPr>
        <w:t>.</w:t>
      </w:r>
    </w:p>
    <w:p w14:paraId="234763E6" w14:textId="5FF6C1FD" w:rsidR="00344C82" w:rsidRDefault="009D4B11" w:rsidP="00B67808">
      <w:pPr>
        <w:pStyle w:val="Hesber"/>
        <w:rPr>
          <w:rtl/>
        </w:rPr>
      </w:pPr>
      <w:r>
        <w:rPr>
          <w:rFonts w:hint="cs"/>
          <w:rtl/>
        </w:rPr>
        <w:t>כדי לקבל את דמי הפגיעה בשל תאונת עבודה,</w:t>
      </w:r>
      <w:r w:rsidR="00344C82">
        <w:rPr>
          <w:rFonts w:hint="cs"/>
          <w:rtl/>
        </w:rPr>
        <w:t xml:space="preserve"> על העובד להגיש תביעה </w:t>
      </w:r>
      <w:r w:rsidR="0036159F">
        <w:rPr>
          <w:rFonts w:hint="cs"/>
          <w:rtl/>
        </w:rPr>
        <w:t xml:space="preserve">למוסד לביטוח </w:t>
      </w:r>
      <w:r w:rsidR="00344C82">
        <w:rPr>
          <w:rFonts w:hint="cs"/>
          <w:rtl/>
        </w:rPr>
        <w:t>לאומי</w:t>
      </w:r>
      <w:r>
        <w:rPr>
          <w:rFonts w:hint="cs"/>
          <w:rtl/>
        </w:rPr>
        <w:t xml:space="preserve">. </w:t>
      </w:r>
      <w:r w:rsidR="00344C82">
        <w:rPr>
          <w:rFonts w:hint="cs"/>
          <w:rtl/>
        </w:rPr>
        <w:t xml:space="preserve">על פי הנהלים הפנימיים של </w:t>
      </w:r>
      <w:r>
        <w:rPr>
          <w:rFonts w:hint="cs"/>
          <w:rtl/>
        </w:rPr>
        <w:t>המוסד לביטוח לאומי</w:t>
      </w:r>
      <w:r w:rsidR="00344C82">
        <w:rPr>
          <w:rFonts w:hint="cs"/>
          <w:rtl/>
        </w:rPr>
        <w:t xml:space="preserve">, משך הטיפול המשוער בתביעה לקבלת דמי פגיעה הוא </w:t>
      </w:r>
      <w:r>
        <w:rPr>
          <w:rFonts w:hint="cs"/>
          <w:rtl/>
        </w:rPr>
        <w:t>כ-</w:t>
      </w:r>
      <w:r w:rsidR="00344C82">
        <w:rPr>
          <w:rFonts w:hint="cs"/>
          <w:rtl/>
        </w:rPr>
        <w:t>60 ימים</w:t>
      </w:r>
      <w:r w:rsidR="0036159F">
        <w:rPr>
          <w:rFonts w:hint="cs"/>
          <w:rtl/>
        </w:rPr>
        <w:t>, ו</w:t>
      </w:r>
      <w:r w:rsidR="00344C82">
        <w:rPr>
          <w:rFonts w:hint="cs"/>
          <w:rtl/>
        </w:rPr>
        <w:t xml:space="preserve">לעיתים משך הטיפול </w:t>
      </w:r>
      <w:r w:rsidR="0036159F">
        <w:rPr>
          <w:rFonts w:hint="cs"/>
          <w:rtl/>
        </w:rPr>
        <w:t>עולה</w:t>
      </w:r>
      <w:r>
        <w:rPr>
          <w:rFonts w:hint="cs"/>
          <w:rtl/>
        </w:rPr>
        <w:t xml:space="preserve"> </w:t>
      </w:r>
      <w:r w:rsidR="00344C82">
        <w:rPr>
          <w:rFonts w:hint="cs"/>
          <w:rtl/>
        </w:rPr>
        <w:t>על 60 ימים.</w:t>
      </w:r>
    </w:p>
    <w:p w14:paraId="44C3E462" w14:textId="5F3BF37E" w:rsidR="00344C82" w:rsidRDefault="00344C82" w:rsidP="006E48DB">
      <w:pPr>
        <w:pStyle w:val="Hesber"/>
        <w:ind w:firstLine="0"/>
        <w:rPr>
          <w:rtl/>
        </w:rPr>
      </w:pPr>
      <w:r>
        <w:rPr>
          <w:rFonts w:hint="cs"/>
          <w:rtl/>
        </w:rPr>
        <w:t xml:space="preserve">במצבים </w:t>
      </w:r>
      <w:r w:rsidR="006C2FD3">
        <w:rPr>
          <w:rFonts w:hint="cs"/>
          <w:rtl/>
        </w:rPr>
        <w:t xml:space="preserve">בהם </w:t>
      </w:r>
      <w:r>
        <w:rPr>
          <w:rFonts w:hint="cs"/>
          <w:rtl/>
        </w:rPr>
        <w:t>משך הטיפול בתביעה לדמי פגיעה הוא ממושך וארוך, העובד עומד בפני שוקת שבורה</w:t>
      </w:r>
      <w:r w:rsidR="004D06C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D4B11">
        <w:rPr>
          <w:rFonts w:hint="cs"/>
          <w:rtl/>
        </w:rPr>
        <w:t xml:space="preserve">מצד אחד אין לו הכנסה כי הוא לא עובד, ומצד שני, פגיעתו </w:t>
      </w:r>
      <w:r w:rsidR="006C2FD3">
        <w:rPr>
          <w:rFonts w:hint="cs"/>
          <w:rtl/>
        </w:rPr>
        <w:t>טרם הוכרה</w:t>
      </w:r>
      <w:r w:rsidR="009D4B11">
        <w:rPr>
          <w:rFonts w:hint="cs"/>
          <w:rtl/>
        </w:rPr>
        <w:t xml:space="preserve"> כתאונת עבודה</w:t>
      </w:r>
      <w:r w:rsidR="004D06C8">
        <w:rPr>
          <w:rFonts w:hint="cs"/>
          <w:rtl/>
        </w:rPr>
        <w:t xml:space="preserve">, ולכן הוא אינו זכאי </w:t>
      </w:r>
      <w:r w:rsidR="00F2481E">
        <w:rPr>
          <w:rFonts w:hint="cs"/>
          <w:rtl/>
        </w:rPr>
        <w:t xml:space="preserve">עדיין </w:t>
      </w:r>
      <w:r w:rsidR="004D06C8">
        <w:rPr>
          <w:rFonts w:hint="cs"/>
          <w:rtl/>
        </w:rPr>
        <w:t xml:space="preserve">לדמי פגיעה. נוסף על כך, </w:t>
      </w:r>
      <w:r>
        <w:rPr>
          <w:rFonts w:hint="cs"/>
          <w:rtl/>
        </w:rPr>
        <w:t>במקרים רבים מדובר בעובדים</w:t>
      </w:r>
      <w:r w:rsidR="004D06C8">
        <w:rPr>
          <w:rFonts w:hint="cs"/>
          <w:rtl/>
        </w:rPr>
        <w:t xml:space="preserve"> ממעמד </w:t>
      </w:r>
      <w:r>
        <w:rPr>
          <w:rFonts w:hint="cs"/>
          <w:rtl/>
        </w:rPr>
        <w:t xml:space="preserve">סוציו-אקונומי </w:t>
      </w:r>
      <w:r w:rsidR="004D06C8">
        <w:rPr>
          <w:rFonts w:hint="cs"/>
          <w:rtl/>
        </w:rPr>
        <w:t xml:space="preserve">נמוך, </w:t>
      </w:r>
      <w:r w:rsidR="00B67808">
        <w:rPr>
          <w:rFonts w:hint="cs"/>
          <w:rtl/>
        </w:rPr>
        <w:t xml:space="preserve">שלא </w:t>
      </w:r>
      <w:r>
        <w:rPr>
          <w:rFonts w:hint="cs"/>
          <w:rtl/>
        </w:rPr>
        <w:t>מ</w:t>
      </w:r>
      <w:r w:rsidR="00B67808">
        <w:rPr>
          <w:rFonts w:hint="cs"/>
          <w:rtl/>
        </w:rPr>
        <w:t>ת</w:t>
      </w:r>
      <w:r>
        <w:rPr>
          <w:rFonts w:hint="cs"/>
          <w:rtl/>
        </w:rPr>
        <w:t xml:space="preserve">אפשר להם </w:t>
      </w:r>
      <w:r w:rsidR="004D06C8">
        <w:rPr>
          <w:rFonts w:hint="cs"/>
          <w:rtl/>
        </w:rPr>
        <w:t xml:space="preserve">להישאר </w:t>
      </w:r>
      <w:r>
        <w:rPr>
          <w:rFonts w:hint="cs"/>
          <w:rtl/>
        </w:rPr>
        <w:t xml:space="preserve">בביתם </w:t>
      </w:r>
      <w:r w:rsidR="004D06C8">
        <w:rPr>
          <w:rFonts w:hint="cs"/>
          <w:rtl/>
        </w:rPr>
        <w:t xml:space="preserve">בזמן </w:t>
      </w:r>
      <w:r w:rsidR="00A870E8">
        <w:rPr>
          <w:rFonts w:hint="cs"/>
          <w:rtl/>
        </w:rPr>
        <w:t>החלמתם,</w:t>
      </w:r>
      <w:r>
        <w:rPr>
          <w:rFonts w:hint="cs"/>
          <w:rtl/>
        </w:rPr>
        <w:t xml:space="preserve"> ללא מקור הכנסה כלל. </w:t>
      </w:r>
    </w:p>
    <w:p w14:paraId="2A1D4FF5" w14:textId="6EC6FCAC" w:rsidR="00344C82" w:rsidRDefault="004D06C8" w:rsidP="001C6F6D">
      <w:pPr>
        <w:pStyle w:val="Hesber"/>
        <w:rPr>
          <w:rtl/>
        </w:rPr>
      </w:pPr>
      <w:r>
        <w:rPr>
          <w:rFonts w:hint="cs"/>
          <w:rtl/>
        </w:rPr>
        <w:t>לפיכך</w:t>
      </w:r>
      <w:r w:rsidR="00344C82">
        <w:rPr>
          <w:rFonts w:hint="cs"/>
          <w:rtl/>
        </w:rPr>
        <w:t xml:space="preserve"> מוצע </w:t>
      </w:r>
      <w:r w:rsidR="00B67808">
        <w:rPr>
          <w:rFonts w:hint="cs"/>
          <w:rtl/>
        </w:rPr>
        <w:t xml:space="preserve">לקבוע </w:t>
      </w:r>
      <w:r w:rsidR="00344C82">
        <w:rPr>
          <w:rFonts w:hint="cs"/>
          <w:rtl/>
        </w:rPr>
        <w:t xml:space="preserve">כי </w:t>
      </w:r>
      <w:r>
        <w:rPr>
          <w:rFonts w:hint="cs"/>
          <w:rtl/>
        </w:rPr>
        <w:t>במקרה</w:t>
      </w:r>
      <w:r w:rsidR="00344C82">
        <w:rPr>
          <w:rFonts w:hint="cs"/>
          <w:rtl/>
        </w:rPr>
        <w:t xml:space="preserve"> שיש יסוד סביר להניח שבשל פגיעה שנגרמה לעובד במהלך יום עבודה </w:t>
      </w:r>
      <w:r w:rsidR="00A870E8">
        <w:rPr>
          <w:rFonts w:hint="cs"/>
          <w:rtl/>
        </w:rPr>
        <w:t>תאושר תביעת העובד לקבלת דמי פגיעה</w:t>
      </w:r>
      <w:r w:rsidR="00B67808">
        <w:rPr>
          <w:rFonts w:hint="cs"/>
          <w:rtl/>
        </w:rPr>
        <w:t xml:space="preserve">, המוסד לביטוח לאומי </w:t>
      </w:r>
      <w:r w:rsidR="00A870E8">
        <w:rPr>
          <w:rFonts w:hint="cs"/>
          <w:rtl/>
        </w:rPr>
        <w:t>יחויב</w:t>
      </w:r>
      <w:r w:rsidR="00344C82">
        <w:rPr>
          <w:rFonts w:hint="cs"/>
          <w:rtl/>
        </w:rPr>
        <w:t xml:space="preserve"> </w:t>
      </w:r>
      <w:r w:rsidR="00B67808">
        <w:rPr>
          <w:rFonts w:hint="cs"/>
          <w:rtl/>
        </w:rPr>
        <w:t xml:space="preserve">להעביר </w:t>
      </w:r>
      <w:r w:rsidR="00344C82">
        <w:rPr>
          <w:rFonts w:hint="cs"/>
          <w:rtl/>
        </w:rPr>
        <w:t>תשלום חודשי מינימאלי,</w:t>
      </w:r>
      <w:r>
        <w:rPr>
          <w:rFonts w:hint="cs"/>
          <w:rtl/>
        </w:rPr>
        <w:t xml:space="preserve"> בסכום שיקבע השר,</w:t>
      </w:r>
      <w:r w:rsidR="00344C82">
        <w:rPr>
          <w:rFonts w:hint="cs"/>
          <w:rtl/>
        </w:rPr>
        <w:t xml:space="preserve"> </w:t>
      </w:r>
      <w:r w:rsidR="006C2FD3">
        <w:rPr>
          <w:rFonts w:hint="cs"/>
          <w:rtl/>
        </w:rPr>
        <w:t>בתוך</w:t>
      </w:r>
      <w:r w:rsidR="001C6F6D">
        <w:rPr>
          <w:rFonts w:hint="cs"/>
          <w:rtl/>
        </w:rPr>
        <w:t xml:space="preserve"> 14 </w:t>
      </w:r>
      <w:bookmarkStart w:id="8" w:name="_GoBack"/>
      <w:bookmarkEnd w:id="8"/>
      <w:r w:rsidR="00B67808">
        <w:rPr>
          <w:rFonts w:hint="cs"/>
          <w:rtl/>
        </w:rPr>
        <w:t>ימים</w:t>
      </w:r>
      <w:r w:rsidR="00344C82">
        <w:rPr>
          <w:rFonts w:hint="cs"/>
          <w:rtl/>
        </w:rPr>
        <w:t xml:space="preserve"> </w:t>
      </w:r>
      <w:r w:rsidR="006E48DB">
        <w:rPr>
          <w:rFonts w:hint="cs"/>
          <w:rtl/>
        </w:rPr>
        <w:t>מיום הגשת</w:t>
      </w:r>
      <w:r w:rsidR="00344C82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344C82">
        <w:rPr>
          <w:rFonts w:hint="cs"/>
          <w:rtl/>
        </w:rPr>
        <w:t>תביעה</w:t>
      </w:r>
      <w:r>
        <w:rPr>
          <w:rFonts w:hint="cs"/>
          <w:rtl/>
        </w:rPr>
        <w:t>.</w:t>
      </w:r>
      <w:r w:rsidR="00F2481E">
        <w:rPr>
          <w:rFonts w:hint="cs"/>
          <w:rtl/>
        </w:rPr>
        <w:t xml:space="preserve"> </w:t>
      </w:r>
      <w:r>
        <w:rPr>
          <w:rFonts w:hint="cs"/>
          <w:rtl/>
        </w:rPr>
        <w:t xml:space="preserve">במקרה של תשלומי יתר של דמי פגיעה, ייקבע השר </w:t>
      </w:r>
      <w:r w:rsidR="002B0839">
        <w:rPr>
          <w:rFonts w:hint="cs"/>
          <w:rtl/>
        </w:rPr>
        <w:t xml:space="preserve">הוראות בעניין קיזוז התשלומים הנוספים, ששולמו לעובד. </w:t>
      </w:r>
      <w:r w:rsidR="00344C82">
        <w:rPr>
          <w:rFonts w:hint="cs"/>
          <w:rtl/>
        </w:rPr>
        <w:t xml:space="preserve"> </w:t>
      </w:r>
    </w:p>
    <w:p w14:paraId="3071D986" w14:textId="77777777" w:rsidR="001C6F6D" w:rsidRDefault="001C6F6D" w:rsidP="006E48DB">
      <w:pPr>
        <w:pStyle w:val="Hesber"/>
        <w:rPr>
          <w:rtl/>
        </w:rPr>
      </w:pPr>
    </w:p>
    <w:p w14:paraId="7BECB0C0" w14:textId="77777777" w:rsidR="001C6F6D" w:rsidRDefault="001C6F6D" w:rsidP="006E48DB">
      <w:pPr>
        <w:pStyle w:val="Hesber"/>
        <w:rPr>
          <w:rtl/>
        </w:rPr>
      </w:pPr>
    </w:p>
    <w:p w14:paraId="575B54C4" w14:textId="77777777" w:rsidR="001C6F6D" w:rsidRPr="00D73212" w:rsidRDefault="001C6F6D" w:rsidP="001C6F6D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65CFC4FC" w14:textId="77777777" w:rsidR="001C6F6D" w:rsidRPr="00D73212" w:rsidRDefault="001C6F6D" w:rsidP="001C6F6D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6EC4D2F5" w14:textId="77777777" w:rsidR="001C6F6D" w:rsidRPr="00D73212" w:rsidRDefault="001C6F6D" w:rsidP="001C6F6D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0FDDF1ED" w14:textId="77777777" w:rsidR="001C6F6D" w:rsidRPr="00317312" w:rsidRDefault="001C6F6D" w:rsidP="001C6F6D">
      <w:pPr>
        <w:pStyle w:val="Hesber"/>
      </w:pPr>
      <w:r>
        <w:rPr>
          <w:rFonts w:hint="cs"/>
          <w:color w:val="auto"/>
          <w:rtl/>
          <w:lang w:eastAsia="en-US"/>
        </w:rPr>
        <w:t>ו' באב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ח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18.7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18</w:t>
      </w:r>
    </w:p>
    <w:p w14:paraId="4FA9A774" w14:textId="77777777" w:rsidR="001C6F6D" w:rsidRDefault="001C6F6D" w:rsidP="006E48DB">
      <w:pPr>
        <w:pStyle w:val="Hesber"/>
        <w:rPr>
          <w:rtl/>
        </w:rPr>
      </w:pPr>
    </w:p>
    <w:p w14:paraId="77ABE346" w14:textId="77777777" w:rsidR="00344C82" w:rsidRDefault="00344C82" w:rsidP="00344C82">
      <w:pPr>
        <w:pStyle w:val="Hesber"/>
        <w:rPr>
          <w:rtl/>
        </w:rPr>
      </w:pPr>
    </w:p>
    <w:p w14:paraId="7F6961CB" w14:textId="77777777" w:rsidR="00E13C27" w:rsidRDefault="00E13C27" w:rsidP="00E13C27">
      <w:pPr>
        <w:pStyle w:val="Hesber"/>
        <w:rPr>
          <w:rtl/>
        </w:rPr>
      </w:pPr>
    </w:p>
    <w:sectPr w:rsidR="00E13C27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1C6F6D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50F537A0" w14:textId="16AAF721" w:rsidR="007563FE" w:rsidRDefault="007563FE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ס''ח התשנ''ה, עמ' 210.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C6F6D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B0839"/>
    <w:rsid w:val="002C2E29"/>
    <w:rsid w:val="002C3041"/>
    <w:rsid w:val="002D1EE3"/>
    <w:rsid w:val="002F1D80"/>
    <w:rsid w:val="003232A2"/>
    <w:rsid w:val="00325C14"/>
    <w:rsid w:val="00344C82"/>
    <w:rsid w:val="0036159F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56F29"/>
    <w:rsid w:val="004A06DC"/>
    <w:rsid w:val="004B24ED"/>
    <w:rsid w:val="004B6625"/>
    <w:rsid w:val="004D06C8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067"/>
    <w:rsid w:val="006818A9"/>
    <w:rsid w:val="006A2D81"/>
    <w:rsid w:val="006C1D0D"/>
    <w:rsid w:val="006C2FD3"/>
    <w:rsid w:val="006E48DB"/>
    <w:rsid w:val="0070601E"/>
    <w:rsid w:val="00712C72"/>
    <w:rsid w:val="00735FE9"/>
    <w:rsid w:val="007563FE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4B11"/>
    <w:rsid w:val="009D6E0A"/>
    <w:rsid w:val="009E1E33"/>
    <w:rsid w:val="00A14672"/>
    <w:rsid w:val="00A26BD6"/>
    <w:rsid w:val="00A443CF"/>
    <w:rsid w:val="00A6611D"/>
    <w:rsid w:val="00A82CB7"/>
    <w:rsid w:val="00A83B50"/>
    <w:rsid w:val="00A870E8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67808"/>
    <w:rsid w:val="00B733A7"/>
    <w:rsid w:val="00B75C91"/>
    <w:rsid w:val="00B975AD"/>
    <w:rsid w:val="00BC45FB"/>
    <w:rsid w:val="00BF148D"/>
    <w:rsid w:val="00C23B1A"/>
    <w:rsid w:val="00C310EB"/>
    <w:rsid w:val="00C9176A"/>
    <w:rsid w:val="00CD74E4"/>
    <w:rsid w:val="00CF1AA2"/>
    <w:rsid w:val="00D142D3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91EEB"/>
    <w:rsid w:val="00EA01E6"/>
    <w:rsid w:val="00EA3DE8"/>
    <w:rsid w:val="00EA758F"/>
    <w:rsid w:val="00ED4A6F"/>
    <w:rsid w:val="00EF3A3A"/>
    <w:rsid w:val="00F2481E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6E373D52-855F-4493-BB08-ADF407CD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4513-02EA-4DD4-9FA8-8E794AFB5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F744B-D15B-4FD2-A398-A0C8DEFD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367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חנה קרליץ</cp:lastModifiedBy>
  <cp:revision>13</cp:revision>
  <cp:lastPrinted>2018-07-17T11:37:00Z</cp:lastPrinted>
  <dcterms:created xsi:type="dcterms:W3CDTF">2015-04-20T09:58:00Z</dcterms:created>
  <dcterms:modified xsi:type="dcterms:W3CDTF">2018-07-17T11:38:00Z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2068175</vt:r8>
  </property>
</Properties>
</file>