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2071129</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יעקב מרגי</w:t>
      </w:r>
      <w:r>
        <w:br/>
      </w:r>
      <w:r>
        <w:rPr>
          <w:rFonts w:hint="cs"/>
          <w:b/>
          <w:bCs/>
          <w:rtl/>
        </w:rPr>
        <w:t xml:space="preserve"> </w:t>
      </w:r>
      <w:r>
        <w:tab/>
      </w:r>
      <w:r>
        <w:tab/>
      </w:r>
      <w:r>
        <w:tab/>
      </w:r>
      <w:r>
        <w:tab/>
      </w:r>
      <w:r>
        <w:rPr>
          <w:rFonts w:hint="cs"/>
          <w:b/>
          <w:bCs/>
          <w:rtl/>
        </w:rPr>
        <w:t>מיכאל מלכיאלי</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פ/5573/20</w:t>
      </w:r>
      <w:bookmarkEnd w:id="6"/>
    </w:p>
    <w:p w14:paraId="7F6961AC" w14:textId="77777777" w:rsidR="00E13C27" w:rsidRDefault="00E13C27" w:rsidP="00E13C27">
      <w:pPr>
        <w:spacing w:before="0" w:line="360" w:lineRule="auto"/>
        <w:ind w:left="2880" w:firstLine="720"/>
        <w:rPr>
          <w:rFonts w:cs="David"/>
          <w:sz w:val="26"/>
          <w:szCs w:val="26"/>
          <w:rtl/>
        </w:rPr>
      </w:pPr>
    </w:p>
    <w:p w14:paraId="0A252F9E" w14:textId="5C25EAB2" w:rsidR="004E7C78" w:rsidRDefault="004E7C78" w:rsidP="00D47303">
      <w:pPr>
        <w:pStyle w:val="HeadHatzaotHok"/>
        <w:rPr>
          <w:rtl/>
        </w:rPr>
      </w:pPr>
      <w:bookmarkStart w:id="7" w:name="LGS_Subject"/>
      <w:r>
        <w:rPr>
          <w:rFonts w:hint="cs"/>
          <w:rtl/>
        </w:rPr>
        <w:t xml:space="preserve">הצעת חוק הביטוח הלאומי (תיקון </w:t>
      </w:r>
      <w:r w:rsidR="00D47303">
        <w:rPr>
          <w:rFonts w:hint="eastAsia"/>
          <w:rtl/>
        </w:rPr>
        <w:t>–</w:t>
      </w:r>
      <w:r>
        <w:rPr>
          <w:rFonts w:hint="cs"/>
          <w:rtl/>
        </w:rPr>
        <w:t xml:space="preserve"> ערעור על החלטות הוועדה הרפואית לעררים), התשע''ח–2018</w:t>
      </w:r>
      <w:bookmarkEnd w:id="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4E7C78" w14:paraId="7E803AEB" w14:textId="77777777" w:rsidTr="003A10BC">
        <w:trPr>
          <w:cantSplit/>
          <w:trHeight w:val="60"/>
        </w:trPr>
        <w:tc>
          <w:tcPr>
            <w:tcW w:w="1871" w:type="dxa"/>
          </w:tcPr>
          <w:p w14:paraId="4FA07260" w14:textId="77777777" w:rsidR="004E7C78" w:rsidRDefault="004E7C78" w:rsidP="003A10BC">
            <w:pPr>
              <w:pStyle w:val="TableSideHeading"/>
            </w:pPr>
            <w:r w:rsidRPr="00E1224F">
              <w:rPr>
                <w:rFonts w:hint="cs"/>
                <w:rtl/>
              </w:rPr>
              <w:t>תיקון סעיף 10</w:t>
            </w:r>
          </w:p>
        </w:tc>
        <w:tc>
          <w:tcPr>
            <w:tcW w:w="624" w:type="dxa"/>
          </w:tcPr>
          <w:p w14:paraId="5950ACA2" w14:textId="77777777" w:rsidR="004E7C78" w:rsidRDefault="004E7C78" w:rsidP="003A10BC">
            <w:pPr>
              <w:pStyle w:val="TableText"/>
            </w:pPr>
            <w:r>
              <w:rPr>
                <w:rFonts w:hint="cs"/>
                <w:rtl/>
              </w:rPr>
              <w:t>1.</w:t>
            </w:r>
          </w:p>
        </w:tc>
        <w:tc>
          <w:tcPr>
            <w:tcW w:w="7146" w:type="dxa"/>
          </w:tcPr>
          <w:p w14:paraId="06FBA1F0" w14:textId="7C8F7BC0" w:rsidR="004E7C78" w:rsidRDefault="004E7C78" w:rsidP="003A10BC">
            <w:pPr>
              <w:pStyle w:val="TableBlock"/>
            </w:pPr>
            <w:r>
              <w:rPr>
                <w:rFonts w:hint="cs"/>
                <w:rtl/>
              </w:rPr>
              <w:t>ב</w:t>
            </w:r>
            <w:r w:rsidRPr="00E73230">
              <w:rPr>
                <w:rtl/>
              </w:rPr>
              <w:t>חוק הביטוח הלאומי</w:t>
            </w:r>
            <w:r w:rsidR="00D47303">
              <w:rPr>
                <w:rFonts w:hint="cs"/>
                <w:rtl/>
              </w:rPr>
              <w:t xml:space="preserve"> [נוסח משולב],</w:t>
            </w:r>
            <w:r w:rsidRPr="00E73230">
              <w:rPr>
                <w:rtl/>
              </w:rPr>
              <w:t xml:space="preserve"> </w:t>
            </w:r>
            <w:r w:rsidRPr="00E73230">
              <w:rPr>
                <w:rFonts w:hint="cs"/>
                <w:rtl/>
              </w:rPr>
              <w:t>התשנ"ה</w:t>
            </w:r>
            <w:r>
              <w:rPr>
                <w:rFonts w:hint="eastAsia"/>
                <w:rtl/>
              </w:rPr>
              <w:t>–</w:t>
            </w:r>
            <w:r w:rsidRPr="00E73230">
              <w:rPr>
                <w:rFonts w:hint="cs"/>
                <w:rtl/>
              </w:rPr>
              <w:t>1995</w:t>
            </w:r>
            <w:r>
              <w:rPr>
                <w:rStyle w:val="a6"/>
                <w:rtl/>
              </w:rPr>
              <w:footnoteReference w:id="2"/>
            </w:r>
            <w:r w:rsidRPr="00E73230">
              <w:rPr>
                <w:rFonts w:hint="cs"/>
                <w:rtl/>
              </w:rPr>
              <w:t xml:space="preserve"> (להלן</w:t>
            </w:r>
            <w:r>
              <w:rPr>
                <w:rFonts w:hint="cs"/>
                <w:rtl/>
              </w:rPr>
              <w:t xml:space="preserve"> </w:t>
            </w:r>
            <w:r>
              <w:rPr>
                <w:rFonts w:hint="eastAsia"/>
                <w:rtl/>
              </w:rPr>
              <w:t>–</w:t>
            </w:r>
            <w:r>
              <w:rPr>
                <w:rFonts w:hint="cs"/>
                <w:rtl/>
              </w:rPr>
              <w:t xml:space="preserve"> החוק העי</w:t>
            </w:r>
            <w:r w:rsidRPr="00E73230">
              <w:rPr>
                <w:rFonts w:hint="cs"/>
                <w:rtl/>
              </w:rPr>
              <w:t>קרי)</w:t>
            </w:r>
            <w:r>
              <w:rPr>
                <w:rFonts w:hint="cs"/>
                <w:rtl/>
              </w:rPr>
              <w:t>, בסעיף 10, המילים "בשאלה משפטית בלבד," – יימחקו.</w:t>
            </w:r>
            <w:r w:rsidRPr="00E73230">
              <w:rPr>
                <w:rtl/>
              </w:rPr>
              <w:t xml:space="preserve"> </w:t>
            </w:r>
          </w:p>
        </w:tc>
      </w:tr>
      <w:tr w:rsidR="004E7C78" w14:paraId="46E8B636" w14:textId="77777777" w:rsidTr="003A10BC">
        <w:trPr>
          <w:cantSplit/>
          <w:trHeight w:val="60"/>
        </w:trPr>
        <w:tc>
          <w:tcPr>
            <w:tcW w:w="1871" w:type="dxa"/>
          </w:tcPr>
          <w:p w14:paraId="18613532" w14:textId="77777777" w:rsidR="004E7C78" w:rsidRDefault="004E7C78" w:rsidP="003A10BC">
            <w:pPr>
              <w:pStyle w:val="TableSideHeading"/>
            </w:pPr>
            <w:r>
              <w:rPr>
                <w:rFonts w:hint="cs"/>
                <w:rtl/>
              </w:rPr>
              <w:t>תיקון סעיף 123</w:t>
            </w:r>
          </w:p>
        </w:tc>
        <w:tc>
          <w:tcPr>
            <w:tcW w:w="624" w:type="dxa"/>
          </w:tcPr>
          <w:p w14:paraId="64428153" w14:textId="77777777" w:rsidR="004E7C78" w:rsidRDefault="004E7C78" w:rsidP="003A10BC">
            <w:pPr>
              <w:pStyle w:val="TableText"/>
            </w:pPr>
            <w:r>
              <w:rPr>
                <w:rFonts w:hint="cs"/>
                <w:rtl/>
              </w:rPr>
              <w:t>2.</w:t>
            </w:r>
          </w:p>
        </w:tc>
        <w:tc>
          <w:tcPr>
            <w:tcW w:w="7146" w:type="dxa"/>
          </w:tcPr>
          <w:p w14:paraId="666835E6" w14:textId="77777777" w:rsidR="004E7C78" w:rsidRPr="00E73230" w:rsidRDefault="004E7C78" w:rsidP="003A10BC">
            <w:pPr>
              <w:pStyle w:val="TableBlock"/>
            </w:pPr>
            <w:r w:rsidRPr="00E73230">
              <w:rPr>
                <w:rFonts w:hint="cs"/>
                <w:rtl/>
              </w:rPr>
              <w:t xml:space="preserve">בסעיף </w:t>
            </w:r>
            <w:r>
              <w:rPr>
                <w:rFonts w:hint="cs"/>
                <w:rtl/>
              </w:rPr>
              <w:t>123 לחוק העיקרי, המילים "</w:t>
            </w:r>
            <w:r w:rsidRPr="00E73230">
              <w:rPr>
                <w:rtl/>
              </w:rPr>
              <w:t>בשאלה משפטית בלבד</w:t>
            </w:r>
            <w:r w:rsidRPr="00E73230">
              <w:rPr>
                <w:rFonts w:hint="cs"/>
                <w:rtl/>
              </w:rPr>
              <w:t xml:space="preserve">" </w:t>
            </w:r>
            <w:r w:rsidRPr="00E73230">
              <w:rPr>
                <w:rtl/>
              </w:rPr>
              <w:t>–</w:t>
            </w:r>
            <w:r w:rsidRPr="00E73230">
              <w:rPr>
                <w:rFonts w:hint="cs"/>
                <w:rtl/>
              </w:rPr>
              <w:t xml:space="preserve"> יימחקו.</w:t>
            </w:r>
          </w:p>
        </w:tc>
      </w:tr>
      <w:tr w:rsidR="004E7C78" w14:paraId="6E8C9888" w14:textId="77777777" w:rsidTr="003A10BC">
        <w:trPr>
          <w:cantSplit/>
          <w:trHeight w:val="60"/>
        </w:trPr>
        <w:tc>
          <w:tcPr>
            <w:tcW w:w="1871" w:type="dxa"/>
          </w:tcPr>
          <w:p w14:paraId="68A3008B" w14:textId="77777777" w:rsidR="004E7C78" w:rsidRPr="00E1224F" w:rsidRDefault="004E7C78" w:rsidP="003A10BC">
            <w:pPr>
              <w:pStyle w:val="TableSideHeading"/>
              <w:keepLines w:val="0"/>
            </w:pPr>
            <w:r>
              <w:rPr>
                <w:rFonts w:hint="cs"/>
                <w:rtl/>
              </w:rPr>
              <w:t>תיקון סעיף 213</w:t>
            </w:r>
          </w:p>
        </w:tc>
        <w:tc>
          <w:tcPr>
            <w:tcW w:w="624" w:type="dxa"/>
          </w:tcPr>
          <w:p w14:paraId="5058C6E9" w14:textId="77777777" w:rsidR="004E7C78" w:rsidRDefault="004E7C78" w:rsidP="003A10BC">
            <w:pPr>
              <w:pStyle w:val="TableText"/>
              <w:keepLines w:val="0"/>
            </w:pPr>
            <w:r>
              <w:rPr>
                <w:rFonts w:hint="cs"/>
                <w:rtl/>
              </w:rPr>
              <w:t>3.</w:t>
            </w:r>
          </w:p>
        </w:tc>
        <w:tc>
          <w:tcPr>
            <w:tcW w:w="7146" w:type="dxa"/>
          </w:tcPr>
          <w:p w14:paraId="78D3C07E" w14:textId="77777777" w:rsidR="004E7C78" w:rsidRPr="00C34DE2" w:rsidRDefault="004E7C78" w:rsidP="003A10BC">
            <w:pPr>
              <w:pStyle w:val="TableBlock"/>
              <w:keepLines w:val="0"/>
            </w:pPr>
            <w:r>
              <w:rPr>
                <w:rFonts w:hint="cs"/>
                <w:rtl/>
              </w:rPr>
              <w:t>בסעיף 213 לחוק העיקרי, המילים "</w:t>
            </w:r>
            <w:r w:rsidRPr="00E73230">
              <w:rPr>
                <w:rtl/>
              </w:rPr>
              <w:t>בשאלה משפטית בלבד</w:t>
            </w:r>
            <w:r w:rsidRPr="00E73230">
              <w:rPr>
                <w:rFonts w:hint="cs"/>
                <w:rtl/>
              </w:rPr>
              <w:t xml:space="preserve">" </w:t>
            </w:r>
            <w:r w:rsidRPr="00E73230">
              <w:rPr>
                <w:rtl/>
              </w:rPr>
              <w:t>–</w:t>
            </w:r>
            <w:r w:rsidRPr="00E73230">
              <w:rPr>
                <w:rFonts w:hint="cs"/>
                <w:rtl/>
              </w:rPr>
              <w:t xml:space="preserve"> יימחקו.</w:t>
            </w:r>
          </w:p>
        </w:tc>
      </w:tr>
    </w:tbl>
    <w:p w14:paraId="22C495DD" w14:textId="77777777" w:rsidR="004E7C78" w:rsidRDefault="004E7C78" w:rsidP="004E7C78">
      <w:pPr>
        <w:pStyle w:val="HeadDivreiHesber"/>
        <w:rPr>
          <w:rtl/>
        </w:rPr>
      </w:pPr>
      <w:r w:rsidRPr="0027450A">
        <w:rPr>
          <w:rFonts w:hint="cs"/>
          <w:rtl/>
        </w:rPr>
        <w:t>דברי הסבר</w:t>
      </w:r>
    </w:p>
    <w:p w14:paraId="6AB60DE2" w14:textId="77777777" w:rsidR="004E7C78" w:rsidRPr="004E7C78" w:rsidRDefault="004E7C78" w:rsidP="00D47303">
      <w:pPr>
        <w:pStyle w:val="Hesber"/>
        <w:spacing w:line="276" w:lineRule="auto"/>
        <w:rPr>
          <w:rtl/>
        </w:rPr>
      </w:pPr>
      <w:r w:rsidRPr="004E7C78">
        <w:rPr>
          <w:rFonts w:hint="cs"/>
          <w:rtl/>
        </w:rPr>
        <w:t>חוק הביטוח הלאומי [נוסח משולב], התשנ"ה–1995, קובע כי ערעור על החלטות שונות של המוסד לביטוח לאומי, לרבות החלטות ועדה לעררי</w:t>
      </w:r>
      <w:r w:rsidRPr="004E7C78">
        <w:rPr>
          <w:rFonts w:hint="eastAsia"/>
          <w:rtl/>
        </w:rPr>
        <w:t>ם</w:t>
      </w:r>
      <w:r w:rsidRPr="004E7C78">
        <w:rPr>
          <w:rFonts w:hint="cs"/>
          <w:rtl/>
        </w:rPr>
        <w:t xml:space="preserve"> וועדה רפואית לעררי</w:t>
      </w:r>
      <w:r w:rsidRPr="004E7C78">
        <w:rPr>
          <w:rFonts w:hint="eastAsia"/>
          <w:rtl/>
        </w:rPr>
        <w:t>ם</w:t>
      </w:r>
      <w:r w:rsidRPr="004E7C78">
        <w:rPr>
          <w:rFonts w:hint="cs"/>
          <w:rtl/>
        </w:rPr>
        <w:t xml:space="preserve"> בעניין נפגעי עבודה ונכות כללית, ניתנות לערעור בפני בית הדין האזורי לעבודה, בשאלות משפטיות בלבד. </w:t>
      </w:r>
    </w:p>
    <w:p w14:paraId="653F85B2" w14:textId="77777777" w:rsidR="004E7C78" w:rsidRPr="004E7C78" w:rsidRDefault="004E7C78" w:rsidP="00D47303">
      <w:pPr>
        <w:pStyle w:val="Hesber"/>
        <w:spacing w:line="276" w:lineRule="auto"/>
        <w:rPr>
          <w:rtl/>
        </w:rPr>
      </w:pPr>
      <w:r w:rsidRPr="004E7C78">
        <w:rPr>
          <w:rFonts w:hint="cs"/>
          <w:rtl/>
        </w:rPr>
        <w:t>שוב ושוב נשמעות טענות על פעילות ועדות הערר של המוסד לביטוח לאומי השוללות מנכים את אחוזי הנכות ואת הזכאות לקצבת נכות. בתקשורת פורסם כי ישנם מקרים בהם הרופא המומחה בתחומו בארץ קובע, כי האדם בלתי כשיר ובלתי מסוגל לפעולות מסוימות, אולם ועדות רפואיות או ועדות ערר של המוסד לביטוח הלאומי מחליטות אחרת.</w:t>
      </w:r>
    </w:p>
    <w:p w14:paraId="50F8DB66" w14:textId="77777777" w:rsidR="004E7C78" w:rsidRPr="004E7C78" w:rsidRDefault="004E7C78" w:rsidP="00D47303">
      <w:pPr>
        <w:pStyle w:val="Hesber"/>
        <w:spacing w:line="276" w:lineRule="auto"/>
        <w:rPr>
          <w:rtl/>
        </w:rPr>
      </w:pPr>
      <w:r w:rsidRPr="004E7C78">
        <w:rPr>
          <w:rFonts w:hint="cs"/>
          <w:rtl/>
        </w:rPr>
        <w:t>מפרסומים שונים עולה כי ישנם מקרים בהם ועדה רפואית של הביטוח הלאומי קובעת אחוזי נכות, והביטוח הלאומי עצמו מערער ומעלה את התיק בפני ועדת הערר שהופכות את החלטת הוועדה הרפואית.</w:t>
      </w:r>
    </w:p>
    <w:p w14:paraId="7605BACF" w14:textId="77777777" w:rsidR="004E7C78" w:rsidRPr="004E7C78" w:rsidRDefault="004E7C78" w:rsidP="00D47303">
      <w:pPr>
        <w:pStyle w:val="Hesber"/>
        <w:spacing w:line="276" w:lineRule="auto"/>
        <w:rPr>
          <w:rtl/>
        </w:rPr>
      </w:pPr>
      <w:r w:rsidRPr="004E7C78">
        <w:rPr>
          <w:rFonts w:hint="cs"/>
          <w:rtl/>
        </w:rPr>
        <w:t xml:space="preserve">החוק מותיר בידי ועדות פנימיות של הביטוח הלאומי להכריע במקרים של ערעור, ומאפשר לנכים לעמוד לפני בית משפט רק בעניינים הנוגעים לשאלות משפטיות. הפתרון לכאורה הוא מתן אפשרות לנכה מערער לשטוח את כל טענתיו בפני סמכות חיצונית. </w:t>
      </w:r>
    </w:p>
    <w:p w14:paraId="2A3983BD" w14:textId="782D814D" w:rsidR="004E7C78" w:rsidRPr="004E7C78" w:rsidRDefault="004E7C78" w:rsidP="00D47303">
      <w:pPr>
        <w:pStyle w:val="Hesber"/>
        <w:spacing w:line="276" w:lineRule="auto"/>
        <w:rPr>
          <w:rtl/>
        </w:rPr>
      </w:pPr>
      <w:r w:rsidRPr="004E7C78">
        <w:rPr>
          <w:rFonts w:hint="cs"/>
          <w:rtl/>
        </w:rPr>
        <w:t>לפיכך, מוצע לאפשר למבוטח לערר על החלטות המוסד לביטוח לאומי גם בשאלות שאינן משפטיות, בפני בית הדין לעבודה.</w:t>
      </w:r>
    </w:p>
    <w:p w14:paraId="14D8271C" w14:textId="7202869A" w:rsidR="00102644" w:rsidRDefault="00D707B4" w:rsidP="00D47303">
      <w:pPr>
        <w:pStyle w:val="Hesber"/>
        <w:spacing w:line="276" w:lineRule="auto"/>
        <w:rPr>
          <w:rtl/>
        </w:rPr>
      </w:pPr>
      <w:r w:rsidRPr="004E7C78">
        <w:rPr>
          <w:rFonts w:hint="cs"/>
          <w:rtl/>
        </w:rPr>
        <w:t xml:space="preserve"> </w:t>
      </w:r>
      <w:r w:rsidRPr="004E7C78">
        <w:rPr>
          <w:rFonts w:hint="eastAsia"/>
          <w:rtl/>
        </w:rPr>
        <w:t>הצע</w:t>
      </w:r>
      <w:r w:rsidRPr="004E7C78">
        <w:rPr>
          <w:rFonts w:hint="cs"/>
          <w:rtl/>
        </w:rPr>
        <w:t>ו</w:t>
      </w:r>
      <w:r w:rsidRPr="004E7C78">
        <w:rPr>
          <w:rFonts w:hint="eastAsia"/>
          <w:rtl/>
        </w:rPr>
        <w:t>ת</w:t>
      </w:r>
      <w:r w:rsidRPr="004E7C78">
        <w:rPr>
          <w:rFonts w:hint="cs"/>
          <w:rtl/>
        </w:rPr>
        <w:t xml:space="preserve"> חוק זהות הונחו על שולחן הכנסת העשרים על ידי חבר הכנסת אורי מקלב וקבוצת חברי הכנסת (פ/837/20) ועל ידי חבר הכנסת דן סיידה וקבוצת חברי הכנסת </w:t>
      </w:r>
      <w:r w:rsidRPr="00D47303">
        <w:rPr>
          <w:rFonts w:hint="cs"/>
          <w:rtl/>
        </w:rPr>
        <w:t>(</w:t>
      </w:r>
      <w:r w:rsidR="00D47303">
        <w:rPr>
          <w:rFonts w:hint="cs"/>
          <w:rtl/>
        </w:rPr>
        <w:t>פ/5572/20</w:t>
      </w:r>
      <w:r w:rsidRPr="00D47303">
        <w:rPr>
          <w:rFonts w:hint="cs"/>
          <w:rtl/>
        </w:rPr>
        <w:t>).</w:t>
      </w:r>
    </w:p>
    <w:p w14:paraId="4D05C926" w14:textId="77777777" w:rsidR="00D47303" w:rsidRDefault="00D47303" w:rsidP="00D47303">
      <w:pPr>
        <w:pStyle w:val="Hesber"/>
        <w:spacing w:line="276" w:lineRule="auto"/>
        <w:rPr>
          <w:rtl/>
        </w:rPr>
      </w:pPr>
    </w:p>
    <w:p w14:paraId="24920394" w14:textId="77777777" w:rsidR="00D47303" w:rsidRPr="00D73212" w:rsidRDefault="00D47303" w:rsidP="00D47303">
      <w:pPr>
        <w:pStyle w:val="Hesber"/>
        <w:rPr>
          <w:color w:val="auto"/>
          <w:rtl/>
          <w:lang w:eastAsia="en-US"/>
        </w:rPr>
      </w:pPr>
      <w:r w:rsidRPr="00D73212">
        <w:rPr>
          <w:color w:val="auto"/>
          <w:rtl/>
          <w:lang w:eastAsia="en-US"/>
        </w:rPr>
        <w:t>---------------------------------</w:t>
      </w:r>
    </w:p>
    <w:p w14:paraId="10A00043" w14:textId="77777777" w:rsidR="00D47303" w:rsidRPr="00D73212" w:rsidRDefault="00D47303" w:rsidP="00D47303">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6536C65B" w14:textId="77777777" w:rsidR="00D47303" w:rsidRPr="00D73212" w:rsidRDefault="00D47303" w:rsidP="00D47303">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01647DDC" w14:textId="77777777" w:rsidR="00D47303" w:rsidRPr="00317312" w:rsidRDefault="00D47303" w:rsidP="00D47303">
      <w:pPr>
        <w:pStyle w:val="Hesber"/>
      </w:pPr>
      <w:r>
        <w:rPr>
          <w:rFonts w:hint="cs"/>
          <w:color w:val="auto"/>
          <w:rtl/>
          <w:lang w:eastAsia="en-US"/>
        </w:rPr>
        <w:t>כ"ו בתמוז</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ח</w:t>
      </w:r>
      <w:r w:rsidRPr="00D73212">
        <w:rPr>
          <w:color w:val="auto"/>
          <w:rtl/>
          <w:lang w:eastAsia="en-US"/>
        </w:rPr>
        <w:t xml:space="preserve"> – </w:t>
      </w:r>
      <w:r>
        <w:rPr>
          <w:rFonts w:hint="cs"/>
          <w:color w:val="auto"/>
          <w:rtl/>
          <w:lang w:eastAsia="en-US"/>
        </w:rPr>
        <w:t>9.7.18</w:t>
      </w:r>
      <w:bookmarkStart w:id="8" w:name="_GoBack"/>
      <w:bookmarkEnd w:id="8"/>
    </w:p>
    <w:sectPr w:rsidR="00D47303" w:rsidRPr="00317312"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D47303">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7B7FC512" w14:textId="77777777" w:rsidR="004E7C78" w:rsidRDefault="004E7C78" w:rsidP="004E7C78">
      <w:pPr>
        <w:pStyle w:val="a4"/>
        <w:rPr>
          <w:rtl/>
        </w:rPr>
      </w:pPr>
      <w:r>
        <w:rPr>
          <w:rStyle w:val="a6"/>
        </w:rPr>
        <w:footnoteRef/>
      </w:r>
      <w:r>
        <w:rPr>
          <w:rtl/>
        </w:rPr>
        <w:t xml:space="preserve"> </w:t>
      </w:r>
      <w:r>
        <w:rPr>
          <w:rFonts w:hint="cs"/>
          <w:rtl/>
        </w:rPr>
        <w:t xml:space="preserve">ס''ח התשנ''ה, עמ' 210.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644"/>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C45A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4E7C78"/>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8604D"/>
    <w:rsid w:val="00C9176A"/>
    <w:rsid w:val="00CF1AA2"/>
    <w:rsid w:val="00D142D3"/>
    <w:rsid w:val="00D17774"/>
    <w:rsid w:val="00D47303"/>
    <w:rsid w:val="00D63620"/>
    <w:rsid w:val="00D707B4"/>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F86B866E-F8A6-468D-8E61-19CD0111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102644"/>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6743">
      <w:bodyDiv w:val="1"/>
      <w:marLeft w:val="0"/>
      <w:marRight w:val="0"/>
      <w:marTop w:val="0"/>
      <w:marBottom w:val="0"/>
      <w:divBdr>
        <w:top w:val="none" w:sz="0" w:space="0" w:color="auto"/>
        <w:left w:val="none" w:sz="0" w:space="0" w:color="auto"/>
        <w:bottom w:val="none" w:sz="0" w:space="0" w:color="auto"/>
        <w:right w:val="none" w:sz="0" w:space="0" w:color="auto"/>
      </w:divBdr>
    </w:div>
    <w:div w:id="1361054753">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FF92-06F6-4707-AD9D-C3873DA87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B684B22-EDD9-4A9D-9F9A-F4094548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317</Words>
  <Characters>1587</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חנה קרליץ</cp:lastModifiedBy>
  <cp:revision>9</cp:revision>
  <cp:lastPrinted>2018-07-05T08:14:00Z</cp:lastPrinted>
  <dcterms:created xsi:type="dcterms:W3CDTF">2015-04-20T09:58:00Z</dcterms:created>
  <dcterms:modified xsi:type="dcterms:W3CDTF">2018-07-05T08:18:00Z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2071129</vt:r8>
  </property>
</Properties>
</file>