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2070987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אילן גילאון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אלי אלאלוף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ענת ברקו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פ/5551/20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5C3F4A24" w:rsidR="00E13C27" w:rsidRPr="00F67051" w:rsidRDefault="00A443CF" w:rsidP="0028652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שוויון זכויות לאנשים עם מוגבלות (תיקון – חובת נגישות באוטובוסים בין עירוניים), התשע"ח</w:t>
      </w:r>
      <w:r w:rsidR="0028652A">
        <w:rPr>
          <w:rFonts w:hint="eastAsia"/>
          <w:rtl/>
        </w:rPr>
        <w:t>–</w:t>
      </w:r>
      <w:r>
        <w:rPr>
          <w:rFonts w:hint="cs"/>
          <w:rtl/>
        </w:rPr>
        <w:t>2018</w:t>
      </w:r>
      <w:bookmarkEnd w:id="7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624"/>
        <w:gridCol w:w="624"/>
        <w:gridCol w:w="6520"/>
      </w:tblGrid>
      <w:tr w:rsidR="00062BC7" w:rsidRPr="00FB54EE" w14:paraId="6984083D" w14:textId="77777777" w:rsidTr="0028652A">
        <w:trPr>
          <w:cantSplit/>
        </w:trPr>
        <w:tc>
          <w:tcPr>
            <w:tcW w:w="1870" w:type="dxa"/>
          </w:tcPr>
          <w:p w14:paraId="6D539E41" w14:textId="4F2AAECB" w:rsidR="00062BC7" w:rsidRPr="00E4110B" w:rsidRDefault="00601A8B" w:rsidP="00E4110B">
            <w:pPr>
              <w:pStyle w:val="TableSideHeading"/>
              <w:ind w:right="0"/>
            </w:pPr>
            <w:r>
              <w:rPr>
                <w:rFonts w:hint="cs"/>
                <w:rtl/>
              </w:rPr>
              <w:t>תיקון</w:t>
            </w:r>
            <w:r w:rsidRPr="00E4110B">
              <w:rPr>
                <w:rFonts w:hint="cs"/>
                <w:rtl/>
              </w:rPr>
              <w:t xml:space="preserve"> </w:t>
            </w:r>
            <w:r w:rsidR="00062BC7" w:rsidRPr="00E4110B">
              <w:rPr>
                <w:rFonts w:hint="cs"/>
                <w:rtl/>
              </w:rPr>
              <w:t xml:space="preserve">סעיף 19  </w:t>
            </w:r>
          </w:p>
        </w:tc>
        <w:tc>
          <w:tcPr>
            <w:tcW w:w="624" w:type="dxa"/>
          </w:tcPr>
          <w:p w14:paraId="3BEB1AD3" w14:textId="77777777" w:rsidR="00062BC7" w:rsidRPr="00E4110B" w:rsidRDefault="00062BC7" w:rsidP="00E4110B">
            <w:pPr>
              <w:pStyle w:val="TableText"/>
              <w:ind w:right="0"/>
              <w:jc w:val="both"/>
            </w:pPr>
            <w:r w:rsidRPr="00E4110B"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2"/>
          </w:tcPr>
          <w:p w14:paraId="17D535F7" w14:textId="633D82DA" w:rsidR="00062BC7" w:rsidRPr="00E4110B" w:rsidRDefault="00062BC7" w:rsidP="0028652A">
            <w:pPr>
              <w:pStyle w:val="TableBlock"/>
            </w:pPr>
            <w:r w:rsidRPr="00E4110B">
              <w:rPr>
                <w:rFonts w:hint="cs"/>
                <w:rtl/>
              </w:rPr>
              <w:t xml:space="preserve">בחוק שוויון זכויות לאנשים עם מוגבלות, </w:t>
            </w:r>
            <w:r w:rsidR="00601A8B">
              <w:rPr>
                <w:rFonts w:hint="cs"/>
                <w:rtl/>
              </w:rPr>
              <w:t>התשנ"ח</w:t>
            </w:r>
            <w:r w:rsidR="00601A8B">
              <w:rPr>
                <w:rFonts w:hint="eastAsia"/>
                <w:rtl/>
              </w:rPr>
              <w:t>–1998</w:t>
            </w:r>
            <w:r w:rsidR="00601A8B">
              <w:rPr>
                <w:rStyle w:val="a5"/>
                <w:rtl/>
              </w:rPr>
              <w:footnoteReference w:id="2"/>
            </w:r>
            <w:r w:rsidR="007228D0">
              <w:rPr>
                <w:rFonts w:hint="cs"/>
                <w:rtl/>
              </w:rPr>
              <w:t xml:space="preserve">, בסעיף 19 </w:t>
            </w:r>
            <w:r w:rsidR="007228D0">
              <w:rPr>
                <w:rFonts w:hint="eastAsia"/>
                <w:rtl/>
              </w:rPr>
              <w:t>–</w:t>
            </w:r>
          </w:p>
        </w:tc>
      </w:tr>
      <w:tr w:rsidR="007228D0" w:rsidRPr="00FB54EE" w14:paraId="491D5547" w14:textId="77777777" w:rsidTr="0028652A">
        <w:trPr>
          <w:cantSplit/>
        </w:trPr>
        <w:tc>
          <w:tcPr>
            <w:tcW w:w="1870" w:type="dxa"/>
          </w:tcPr>
          <w:p w14:paraId="5B6F42D0" w14:textId="77777777" w:rsidR="007228D0" w:rsidRPr="00E4110B" w:rsidDel="00601A8B" w:rsidRDefault="007228D0" w:rsidP="00E4110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</w:tcPr>
          <w:p w14:paraId="5662FE5A" w14:textId="77777777" w:rsidR="007228D0" w:rsidRPr="00E4110B" w:rsidRDefault="007228D0" w:rsidP="00E4110B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2EC4A5E7" w14:textId="6221CED3" w:rsidR="007228D0" w:rsidRPr="00E4110B" w:rsidRDefault="007228D0" w:rsidP="007228D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בסעיף קטן (ג1), אחרי פסקה (2) יבוא:</w:t>
            </w:r>
          </w:p>
        </w:tc>
      </w:tr>
      <w:tr w:rsidR="007228D0" w14:paraId="0ACD51C2" w14:textId="77777777" w:rsidTr="0028652A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14:paraId="46086FFD" w14:textId="77777777" w:rsidR="007228D0" w:rsidRDefault="007228D0">
            <w:pPr>
              <w:pStyle w:val="TableSideHeading"/>
            </w:pPr>
          </w:p>
        </w:tc>
        <w:tc>
          <w:tcPr>
            <w:tcW w:w="624" w:type="dxa"/>
          </w:tcPr>
          <w:p w14:paraId="4CBD06A4" w14:textId="77777777" w:rsidR="007228D0" w:rsidRDefault="007228D0">
            <w:pPr>
              <w:pStyle w:val="TableText"/>
            </w:pPr>
          </w:p>
        </w:tc>
        <w:tc>
          <w:tcPr>
            <w:tcW w:w="624" w:type="dxa"/>
          </w:tcPr>
          <w:p w14:paraId="0AB4913B" w14:textId="77777777" w:rsidR="007228D0" w:rsidRDefault="007228D0">
            <w:pPr>
              <w:pStyle w:val="TableText"/>
            </w:pPr>
          </w:p>
        </w:tc>
        <w:tc>
          <w:tcPr>
            <w:tcW w:w="6520" w:type="dxa"/>
          </w:tcPr>
          <w:p w14:paraId="4C343B21" w14:textId="7F0D972A" w:rsidR="007228D0" w:rsidRDefault="007228D0" w:rsidP="00614AD4">
            <w:pPr>
              <w:pStyle w:val="TableBlock"/>
            </w:pPr>
            <w:r>
              <w:rPr>
                <w:rFonts w:hint="cs"/>
                <w:rtl/>
              </w:rPr>
              <w:t>"(3)</w:t>
            </w:r>
            <w:r>
              <w:rPr>
                <w:rtl/>
              </w:rPr>
              <w:tab/>
            </w:r>
            <w:r w:rsidRPr="00E4110B">
              <w:rPr>
                <w:rFonts w:hint="cs"/>
                <w:rtl/>
              </w:rPr>
              <w:t>הטלת חובה לביצוע התאמות נגישות לאנשים עם מוגבלות פיסית באוטובוסים בי</w:t>
            </w:r>
            <w:r>
              <w:rPr>
                <w:rFonts w:hint="cs"/>
                <w:rtl/>
              </w:rPr>
              <w:t>ן-</w:t>
            </w:r>
            <w:r w:rsidRPr="00E4110B">
              <w:rPr>
                <w:rFonts w:hint="cs"/>
                <w:rtl/>
              </w:rPr>
              <w:t>עירוניים לפי תנאים וכללים שיקבעו</w:t>
            </w:r>
            <w:r w:rsidR="00614AD4" w:rsidRPr="00E4110B">
              <w:rPr>
                <w:rFonts w:hint="cs"/>
                <w:rtl/>
              </w:rPr>
              <w:t>"</w:t>
            </w:r>
            <w:r w:rsidR="00614AD4">
              <w:rPr>
                <w:rFonts w:hint="cs"/>
                <w:rtl/>
              </w:rPr>
              <w:t>;</w:t>
            </w:r>
          </w:p>
        </w:tc>
      </w:tr>
      <w:tr w:rsidR="007228D0" w:rsidRPr="00FB54EE" w14:paraId="71FB218D" w14:textId="77777777" w:rsidTr="0028652A">
        <w:trPr>
          <w:cantSplit/>
        </w:trPr>
        <w:tc>
          <w:tcPr>
            <w:tcW w:w="1870" w:type="dxa"/>
          </w:tcPr>
          <w:p w14:paraId="4F6CA6F6" w14:textId="77777777" w:rsidR="007228D0" w:rsidRPr="00E4110B" w:rsidRDefault="007228D0" w:rsidP="00E4110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64E0CB4" w14:textId="77777777" w:rsidR="007228D0" w:rsidRPr="00E4110B" w:rsidRDefault="007228D0" w:rsidP="00E4110B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4B4A06FE" w14:textId="476D30BA" w:rsidR="007228D0" w:rsidRPr="00E4110B" w:rsidRDefault="007228D0" w:rsidP="0028652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בסעיף קטן (ג2), במקום "סעיף" יבוא "פסקאות (1) ו-(2) לסעיף"</w:t>
            </w:r>
            <w:r w:rsidR="00614AD4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ובסופו יבוא "ותקנות ראשונות לפי פסקה (3) של הסעיף הקטן האמור יובאו לאישור הוועדה האמורה לא יאוחר מיום כ"ג בחשוון התשע"ט (1 בנובמבר 2018)".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81EFC06" w14:textId="296D0FF6" w:rsidR="00062BC7" w:rsidRPr="00E4110B" w:rsidRDefault="00E4110B" w:rsidP="00614AD4">
      <w:pPr>
        <w:pStyle w:val="Hesber"/>
      </w:pPr>
      <w:r>
        <w:rPr>
          <w:rFonts w:hint="cs"/>
          <w:rtl/>
        </w:rPr>
        <w:t>סעיף 19 ל</w:t>
      </w:r>
      <w:r w:rsidR="00062BC7" w:rsidRPr="00E4110B">
        <w:rPr>
          <w:rFonts w:hint="cs"/>
          <w:rtl/>
        </w:rPr>
        <w:t xml:space="preserve">חוק שוויון </w:t>
      </w:r>
      <w:r>
        <w:rPr>
          <w:rFonts w:hint="cs"/>
          <w:rtl/>
        </w:rPr>
        <w:t>זכויות ל</w:t>
      </w:r>
      <w:r w:rsidR="00062BC7" w:rsidRPr="00E4110B">
        <w:rPr>
          <w:rFonts w:hint="cs"/>
          <w:rtl/>
        </w:rPr>
        <w:t>אנשים עם מוגבלות</w:t>
      </w:r>
      <w:r>
        <w:rPr>
          <w:rFonts w:hint="cs"/>
          <w:rtl/>
        </w:rPr>
        <w:t>, התשנ"ח</w:t>
      </w:r>
      <w:r>
        <w:rPr>
          <w:rFonts w:hint="eastAsia"/>
          <w:rtl/>
        </w:rPr>
        <w:t>–</w:t>
      </w:r>
      <w:r>
        <w:rPr>
          <w:rFonts w:hint="cs"/>
          <w:rtl/>
        </w:rPr>
        <w:t>1998</w:t>
      </w:r>
      <w:r w:rsidR="00614AD4">
        <w:rPr>
          <w:rFonts w:hint="cs"/>
          <w:rtl/>
        </w:rPr>
        <w:t>,</w:t>
      </w:r>
      <w:r w:rsidR="00062BC7" w:rsidRPr="00E4110B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עוסק בנגישות לשירותי תחבורה ציבורית, אך </w:t>
      </w:r>
      <w:r w:rsidR="007228D0">
        <w:rPr>
          <w:rFonts w:hint="cs"/>
          <w:rtl/>
        </w:rPr>
        <w:t xml:space="preserve">אינו כולל </w:t>
      </w:r>
      <w:r w:rsidR="00062BC7" w:rsidRPr="00E4110B">
        <w:rPr>
          <w:rFonts w:hint="cs"/>
          <w:rtl/>
        </w:rPr>
        <w:t>חובת הנגשה פיזית לאוטובוסים בין</w:t>
      </w:r>
      <w:r>
        <w:rPr>
          <w:rFonts w:hint="cs"/>
          <w:rtl/>
        </w:rPr>
        <w:t>-</w:t>
      </w:r>
      <w:r w:rsidR="00062BC7" w:rsidRPr="00E4110B">
        <w:rPr>
          <w:rFonts w:hint="cs"/>
          <w:rtl/>
        </w:rPr>
        <w:t>עירוניים. משמעות ההחרגה היא שאנשים הזקוקים להנגשה פיזית אינם יכולים להשתמש ב</w:t>
      </w:r>
      <w:r w:rsidR="00A04933">
        <w:rPr>
          <w:rFonts w:hint="cs"/>
          <w:rtl/>
        </w:rPr>
        <w:t xml:space="preserve">מרבית </w:t>
      </w:r>
      <w:r w:rsidR="00614AD4">
        <w:rPr>
          <w:rFonts w:hint="cs"/>
          <w:rtl/>
        </w:rPr>
        <w:t>ה</w:t>
      </w:r>
      <w:r w:rsidR="00062BC7" w:rsidRPr="00E4110B">
        <w:rPr>
          <w:rFonts w:hint="cs"/>
          <w:rtl/>
        </w:rPr>
        <w:t>תחבורה הציבורית הבין</w:t>
      </w:r>
      <w:r>
        <w:rPr>
          <w:rFonts w:hint="cs"/>
          <w:rtl/>
        </w:rPr>
        <w:t>-</w:t>
      </w:r>
      <w:r w:rsidR="00062BC7" w:rsidRPr="00E4110B">
        <w:rPr>
          <w:rFonts w:hint="cs"/>
          <w:rtl/>
        </w:rPr>
        <w:t>עירונית בישראל</w:t>
      </w:r>
      <w:r w:rsidR="00A04933">
        <w:rPr>
          <w:rFonts w:hint="cs"/>
          <w:rtl/>
        </w:rPr>
        <w:t>.</w:t>
      </w:r>
      <w:r w:rsidR="00062BC7" w:rsidRPr="00E4110B">
        <w:rPr>
          <w:rFonts w:hint="cs"/>
          <w:rtl/>
        </w:rPr>
        <w:t xml:space="preserve">כלומר, כיום ישנה הנגשה מלאה באוטובוסים העירוניים וברכבות, </w:t>
      </w:r>
      <w:r>
        <w:rPr>
          <w:rFonts w:hint="cs"/>
          <w:rtl/>
        </w:rPr>
        <w:t>ו</w:t>
      </w:r>
      <w:r w:rsidRPr="00E4110B">
        <w:rPr>
          <w:rFonts w:hint="cs"/>
          <w:rtl/>
        </w:rPr>
        <w:t>באוטובוסים הבין עירוניים</w:t>
      </w:r>
      <w:r>
        <w:rPr>
          <w:rFonts w:hint="cs"/>
          <w:rtl/>
        </w:rPr>
        <w:t xml:space="preserve"> </w:t>
      </w:r>
      <w:r w:rsidR="00062BC7" w:rsidRPr="00E4110B">
        <w:rPr>
          <w:rFonts w:hint="cs"/>
          <w:rtl/>
        </w:rPr>
        <w:t>ישנה הנגשה חושית בלבד</w:t>
      </w:r>
      <w:r>
        <w:rPr>
          <w:rFonts w:hint="cs"/>
          <w:rtl/>
        </w:rPr>
        <w:t>.</w:t>
      </w:r>
      <w:r w:rsidR="00062BC7" w:rsidRPr="00E4110B">
        <w:rPr>
          <w:rFonts w:hint="cs"/>
          <w:rtl/>
        </w:rPr>
        <w:t xml:space="preserve"> </w:t>
      </w:r>
      <w:r w:rsidR="00614AD4">
        <w:rPr>
          <w:rFonts w:hint="cs"/>
          <w:rtl/>
        </w:rPr>
        <w:t xml:space="preserve">כך, </w:t>
      </w:r>
      <w:r w:rsidR="00062BC7" w:rsidRPr="00E4110B">
        <w:rPr>
          <w:rFonts w:hint="cs"/>
          <w:rtl/>
        </w:rPr>
        <w:t xml:space="preserve">לאדם </w:t>
      </w:r>
      <w:r w:rsidR="00614AD4">
        <w:rPr>
          <w:rFonts w:hint="cs"/>
          <w:rtl/>
        </w:rPr>
        <w:t>הנעזר</w:t>
      </w:r>
      <w:r w:rsidR="00062BC7" w:rsidRPr="00E4110B">
        <w:rPr>
          <w:rFonts w:hint="cs"/>
          <w:rtl/>
        </w:rPr>
        <w:t xml:space="preserve"> </w:t>
      </w:r>
      <w:r w:rsidR="00614AD4">
        <w:rPr>
          <w:rFonts w:hint="cs"/>
          <w:rtl/>
        </w:rPr>
        <w:t>ב</w:t>
      </w:r>
      <w:r w:rsidR="00062BC7" w:rsidRPr="00E4110B">
        <w:rPr>
          <w:rFonts w:hint="cs"/>
          <w:rtl/>
        </w:rPr>
        <w:t>כיסא גלגלים אין אפשרות להשתמש בשירותי התחבורה הציבורית הבין-עירונית</w:t>
      </w:r>
      <w:r>
        <w:rPr>
          <w:rFonts w:hint="cs"/>
          <w:rtl/>
        </w:rPr>
        <w:t xml:space="preserve"> באוטובוסים</w:t>
      </w:r>
      <w:r w:rsidR="00062BC7" w:rsidRPr="00E4110B">
        <w:rPr>
          <w:rFonts w:hint="cs"/>
          <w:rtl/>
        </w:rPr>
        <w:t>. לפי דוח של נציבות שוויון זכויות לאנשים עם מוגבלות משנת 2011, 69% מהאנשים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עם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מוגבלות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השתמשו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בשנה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האחרונה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בתחבורה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ציבורית</w:t>
      </w:r>
      <w:r w:rsidR="00062BC7" w:rsidRPr="00E4110B">
        <w:rPr>
          <w:rtl/>
        </w:rPr>
        <w:t xml:space="preserve"> (</w:t>
      </w:r>
      <w:r w:rsidR="00062BC7" w:rsidRPr="00E4110B">
        <w:rPr>
          <w:rFonts w:hint="cs"/>
          <w:rtl/>
        </w:rPr>
        <w:t>אוטובוסים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או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רכבות</w:t>
      </w:r>
      <w:r w:rsidR="00062BC7" w:rsidRPr="00E4110B">
        <w:rPr>
          <w:rtl/>
        </w:rPr>
        <w:t>)</w:t>
      </w:r>
      <w:r>
        <w:rPr>
          <w:rFonts w:hint="cs"/>
          <w:rtl/>
        </w:rPr>
        <w:t xml:space="preserve">; </w:t>
      </w:r>
      <w:r w:rsidR="00062BC7" w:rsidRPr="00E4110B">
        <w:rPr>
          <w:rtl/>
        </w:rPr>
        <w:t>39%</w:t>
      </w:r>
      <w:r>
        <w:rPr>
          <w:rFonts w:hint="cs"/>
          <w:rtl/>
        </w:rPr>
        <w:t xml:space="preserve"> מהאנשים עם מוגבלות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בתדירות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גבוהה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של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לפחות</w:t>
      </w:r>
      <w:r w:rsidR="00062BC7" w:rsidRPr="00E4110B">
        <w:rPr>
          <w:rtl/>
        </w:rPr>
        <w:t xml:space="preserve"> </w:t>
      </w:r>
      <w:r>
        <w:rPr>
          <w:rFonts w:hint="cs"/>
          <w:rtl/>
        </w:rPr>
        <w:t>יום או יומיים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בשבוע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אם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לא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בכל</w:t>
      </w:r>
      <w:r w:rsidR="00062BC7" w:rsidRPr="00E4110B">
        <w:rPr>
          <w:rtl/>
        </w:rPr>
        <w:t xml:space="preserve"> </w:t>
      </w:r>
      <w:r w:rsidR="00062BC7" w:rsidRPr="00E4110B">
        <w:rPr>
          <w:rFonts w:hint="cs"/>
          <w:rtl/>
        </w:rPr>
        <w:t>יום</w:t>
      </w:r>
      <w:r w:rsidR="00062BC7" w:rsidRPr="00E4110B">
        <w:rPr>
          <w:rtl/>
        </w:rPr>
        <w:t>.</w:t>
      </w:r>
      <w:r w:rsidR="00062BC7" w:rsidRPr="00E4110B">
        <w:rPr>
          <w:rFonts w:hint="cs"/>
          <w:rtl/>
        </w:rPr>
        <w:t xml:space="preserve"> </w:t>
      </w:r>
    </w:p>
    <w:p w14:paraId="17B73DC9" w14:textId="18EB05F7" w:rsidR="00062BC7" w:rsidRPr="00E4110B" w:rsidRDefault="00601A8B" w:rsidP="0028652A">
      <w:pPr>
        <w:pStyle w:val="Hesber"/>
        <w:rPr>
          <w:rtl/>
        </w:rPr>
      </w:pPr>
      <w:r>
        <w:rPr>
          <w:rFonts w:hint="cs"/>
          <w:rtl/>
        </w:rPr>
        <w:lastRenderedPageBreak/>
        <w:t xml:space="preserve">לפיכך, </w:t>
      </w:r>
      <w:r w:rsidR="00E4110B">
        <w:rPr>
          <w:rFonts w:hint="cs"/>
          <w:rtl/>
        </w:rPr>
        <w:t xml:space="preserve">לא </w:t>
      </w:r>
      <w:r w:rsidR="00062BC7" w:rsidRPr="00E4110B">
        <w:rPr>
          <w:rFonts w:hint="cs"/>
          <w:rtl/>
        </w:rPr>
        <w:t xml:space="preserve"> ניתנת הזדמנ</w:t>
      </w:r>
      <w:r w:rsidR="00614AD4">
        <w:rPr>
          <w:rFonts w:hint="cs"/>
          <w:rtl/>
        </w:rPr>
        <w:t xml:space="preserve">ות שווה לכלל אזרחי מדינת ישראל </w:t>
      </w:r>
      <w:r w:rsidR="00062BC7" w:rsidRPr="00E4110B">
        <w:rPr>
          <w:rFonts w:hint="cs"/>
          <w:rtl/>
        </w:rPr>
        <w:t>לשימוש בתחבורה הציבורית באופן מלא.  אנשים עם מ</w:t>
      </w:r>
      <w:r>
        <w:rPr>
          <w:rFonts w:hint="cs"/>
          <w:rtl/>
        </w:rPr>
        <w:t>ו</w:t>
      </w:r>
      <w:r w:rsidR="00062BC7" w:rsidRPr="00E4110B">
        <w:rPr>
          <w:rFonts w:hint="cs"/>
          <w:rtl/>
        </w:rPr>
        <w:t>גבלות פיזית עלולים לוותר על תעסוקה בשל חוסר נגישות למקום</w:t>
      </w:r>
      <w:r>
        <w:rPr>
          <w:rFonts w:hint="cs"/>
          <w:rtl/>
        </w:rPr>
        <w:t xml:space="preserve"> התעסוקה</w:t>
      </w:r>
      <w:r w:rsidR="00062BC7" w:rsidRPr="00E4110B">
        <w:rPr>
          <w:rFonts w:hint="cs"/>
          <w:rtl/>
        </w:rPr>
        <w:t xml:space="preserve">, </w:t>
      </w:r>
      <w:r>
        <w:rPr>
          <w:rFonts w:hint="cs"/>
          <w:rtl/>
        </w:rPr>
        <w:t>וכן</w:t>
      </w:r>
      <w:r w:rsidR="00062BC7" w:rsidRPr="00E4110B">
        <w:rPr>
          <w:rFonts w:hint="cs"/>
          <w:rtl/>
        </w:rPr>
        <w:t xml:space="preserve"> עלולים לוותר על ביקור חברים ומשפחה, </w:t>
      </w:r>
      <w:r>
        <w:rPr>
          <w:rFonts w:hint="cs"/>
          <w:rtl/>
        </w:rPr>
        <w:t xml:space="preserve">ועל </w:t>
      </w:r>
      <w:r w:rsidR="00062BC7" w:rsidRPr="00E4110B">
        <w:rPr>
          <w:rFonts w:hint="cs"/>
          <w:rtl/>
        </w:rPr>
        <w:t xml:space="preserve">בילוי ופנאי. אנשים עם מוגבלות פיזית </w:t>
      </w:r>
      <w:r>
        <w:rPr>
          <w:rFonts w:hint="cs"/>
          <w:rtl/>
        </w:rPr>
        <w:t xml:space="preserve">נאלצים </w:t>
      </w:r>
      <w:r w:rsidR="00062BC7" w:rsidRPr="00E4110B">
        <w:rPr>
          <w:rFonts w:hint="cs"/>
          <w:rtl/>
        </w:rPr>
        <w:t>להסתמך על רכב פרטי כאמצעי תחבורה ו</w:t>
      </w:r>
      <w:r>
        <w:rPr>
          <w:rFonts w:hint="cs"/>
          <w:rtl/>
        </w:rPr>
        <w:t>נ</w:t>
      </w:r>
      <w:r w:rsidR="00062BC7" w:rsidRPr="00E4110B">
        <w:rPr>
          <w:rFonts w:hint="cs"/>
          <w:rtl/>
        </w:rPr>
        <w:t>מנע</w:t>
      </w:r>
      <w:r>
        <w:rPr>
          <w:rFonts w:hint="cs"/>
          <w:rtl/>
        </w:rPr>
        <w:t>ת</w:t>
      </w:r>
      <w:r w:rsidR="00062BC7" w:rsidRPr="00E4110B">
        <w:rPr>
          <w:rFonts w:hint="cs"/>
          <w:rtl/>
        </w:rPr>
        <w:t xml:space="preserve"> מהם התניידות בתחבורה ציבורית</w:t>
      </w:r>
      <w:r>
        <w:rPr>
          <w:rFonts w:hint="cs"/>
          <w:rtl/>
        </w:rPr>
        <w:t xml:space="preserve"> באוטובוסים</w:t>
      </w:r>
      <w:r w:rsidR="00062BC7" w:rsidRPr="00E4110B">
        <w:rPr>
          <w:rFonts w:hint="cs"/>
          <w:rtl/>
        </w:rPr>
        <w:t>.</w:t>
      </w:r>
    </w:p>
    <w:p w14:paraId="6BCA060F" w14:textId="0D8A1C1C" w:rsidR="00062BC7" w:rsidRPr="00E4110B" w:rsidRDefault="00062BC7" w:rsidP="0028652A">
      <w:pPr>
        <w:pStyle w:val="Hesber"/>
        <w:rPr>
          <w:rtl/>
        </w:rPr>
      </w:pPr>
      <w:r w:rsidRPr="00E4110B">
        <w:rPr>
          <w:rtl/>
        </w:rPr>
        <w:t>זאת ועוד, הרכבת עצמה אינה נגישה מספיק עבור אנשים המתניידים בכסא</w:t>
      </w:r>
      <w:r w:rsidR="00601A8B">
        <w:rPr>
          <w:rFonts w:hint="cs"/>
          <w:rtl/>
        </w:rPr>
        <w:t>ות</w:t>
      </w:r>
      <w:r w:rsidRPr="00E4110B">
        <w:rPr>
          <w:rtl/>
        </w:rPr>
        <w:t xml:space="preserve"> גלגלים</w:t>
      </w:r>
      <w:r w:rsidR="00601A8B">
        <w:rPr>
          <w:rFonts w:hint="cs"/>
          <w:rtl/>
        </w:rPr>
        <w:t xml:space="preserve">, שכן הם </w:t>
      </w:r>
      <w:r w:rsidRPr="00E4110B">
        <w:rPr>
          <w:rtl/>
        </w:rPr>
        <w:t xml:space="preserve"> נדרשים להודיע לרכבת </w:t>
      </w:r>
      <w:r w:rsidR="00601A8B">
        <w:rPr>
          <w:rFonts w:hint="cs"/>
          <w:rtl/>
        </w:rPr>
        <w:t>שבע</w:t>
      </w:r>
      <w:r w:rsidRPr="00E4110B">
        <w:rPr>
          <w:rtl/>
        </w:rPr>
        <w:t xml:space="preserve"> שעות מראש כדי להבטיח לעצמם סיוע בעלייה ובירידה מהרכבת באמצעות הפעלת מיתקן הרמה או לשריין מקום בקרן נגיש</w:t>
      </w:r>
      <w:r w:rsidRPr="00E4110B">
        <w:rPr>
          <w:rFonts w:hint="cs"/>
          <w:rtl/>
        </w:rPr>
        <w:t>. אוטובוס בי</w:t>
      </w:r>
      <w:r w:rsidR="00601A8B">
        <w:rPr>
          <w:rFonts w:hint="cs"/>
          <w:rtl/>
        </w:rPr>
        <w:t>ן-</w:t>
      </w:r>
      <w:r w:rsidRPr="00E4110B">
        <w:rPr>
          <w:rFonts w:hint="cs"/>
          <w:rtl/>
        </w:rPr>
        <w:t>עירוני נגיש עשוי להקל עליהם ולהוות עבורם פתרון חלופי.</w:t>
      </w:r>
    </w:p>
    <w:p w14:paraId="40575693" w14:textId="331AA188" w:rsidR="00062BC7" w:rsidRPr="00E4110B" w:rsidRDefault="00A04933" w:rsidP="00614AD4">
      <w:pPr>
        <w:pStyle w:val="Hesber"/>
        <w:rPr>
          <w:rtl/>
        </w:rPr>
      </w:pPr>
      <w:r w:rsidRPr="00E4110B">
        <w:rPr>
          <w:rFonts w:hint="cs"/>
          <w:rtl/>
        </w:rPr>
        <w:t>משרד התחבורה</w:t>
      </w:r>
      <w:r w:rsidR="00614AD4">
        <w:rPr>
          <w:rFonts w:hint="cs"/>
          <w:rtl/>
        </w:rPr>
        <w:t xml:space="preserve"> והבטיחות בדרכים</w:t>
      </w:r>
      <w:r w:rsidRPr="00E4110B">
        <w:rPr>
          <w:rFonts w:hint="cs"/>
          <w:rtl/>
        </w:rPr>
        <w:t xml:space="preserve"> מסרב להנגיש את התחבורה הציבורית הבין עירונית בישראל </w:t>
      </w:r>
      <w:r>
        <w:rPr>
          <w:rFonts w:hint="cs"/>
          <w:rtl/>
        </w:rPr>
        <w:t>משיקולים כלכליים צרים</w:t>
      </w:r>
      <w:r w:rsidRPr="00E4110B">
        <w:rPr>
          <w:rFonts w:hint="cs"/>
          <w:rtl/>
        </w:rPr>
        <w:t>.</w:t>
      </w:r>
      <w:r>
        <w:rPr>
          <w:rFonts w:hint="cs"/>
          <w:rtl/>
        </w:rPr>
        <w:t xml:space="preserve"> ואולם, </w:t>
      </w:r>
      <w:r w:rsidR="00062BC7" w:rsidRPr="00E4110B">
        <w:rPr>
          <w:rFonts w:hint="cs"/>
          <w:rtl/>
        </w:rPr>
        <w:t xml:space="preserve">הנימוק התקציבי של </w:t>
      </w:r>
      <w:r w:rsidR="00062BC7" w:rsidRPr="00A04933">
        <w:rPr>
          <w:rFonts w:hint="eastAsia"/>
          <w:rtl/>
        </w:rPr>
        <w:t>משרד</w:t>
      </w:r>
      <w:r w:rsidR="00062BC7" w:rsidRPr="00A04933">
        <w:rPr>
          <w:rtl/>
        </w:rPr>
        <w:t xml:space="preserve"> התחבורה </w:t>
      </w:r>
      <w:r w:rsidR="00614AD4">
        <w:rPr>
          <w:rFonts w:hint="cs"/>
          <w:rtl/>
        </w:rPr>
        <w:t xml:space="preserve">והבטיחות בדרכים  </w:t>
      </w:r>
      <w:r w:rsidR="00062BC7" w:rsidRPr="00A04933">
        <w:rPr>
          <w:rtl/>
        </w:rPr>
        <w:t xml:space="preserve">מתייחס להנגשה מלאה של כלל האוטובוסים ובאופן </w:t>
      </w:r>
      <w:r w:rsidR="00062BC7" w:rsidRPr="00A04933">
        <w:rPr>
          <w:rFonts w:hint="eastAsia"/>
          <w:rtl/>
        </w:rPr>
        <w:t>מיידי</w:t>
      </w:r>
      <w:r w:rsidR="00062BC7" w:rsidRPr="00A04933">
        <w:rPr>
          <w:rtl/>
        </w:rPr>
        <w:t xml:space="preserve">. מדוח מפורט של מרכז המחקר והמידע </w:t>
      </w:r>
      <w:r w:rsidR="00601A8B" w:rsidRPr="00A04933">
        <w:rPr>
          <w:rFonts w:hint="eastAsia"/>
          <w:rtl/>
        </w:rPr>
        <w:t>של</w:t>
      </w:r>
      <w:r w:rsidR="00601A8B" w:rsidRPr="00A04933">
        <w:rPr>
          <w:rtl/>
        </w:rPr>
        <w:t xml:space="preserve"> הכנסת </w:t>
      </w:r>
      <w:r w:rsidRPr="00A04933">
        <w:rPr>
          <w:rtl/>
        </w:rPr>
        <w:t>(</w:t>
      </w:r>
      <w:r w:rsidRPr="00614AD4">
        <w:rPr>
          <w:rFonts w:hint="eastAsia"/>
          <w:b/>
          <w:bCs/>
          <w:rtl/>
        </w:rPr>
        <w:t>הנגשת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קווי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אוטובוס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בין</w:t>
      </w:r>
      <w:r w:rsidRPr="00614AD4">
        <w:rPr>
          <w:b/>
          <w:bCs/>
        </w:rPr>
        <w:t>-</w:t>
      </w:r>
      <w:r w:rsidRPr="00614AD4">
        <w:rPr>
          <w:rFonts w:hint="eastAsia"/>
          <w:b/>
          <w:bCs/>
          <w:rtl/>
        </w:rPr>
        <w:t>עירוניים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לנוסעים</w:t>
      </w:r>
      <w:r w:rsidRPr="00614AD4">
        <w:rPr>
          <w:rFonts w:hint="cs"/>
          <w:b/>
          <w:bCs/>
          <w:rtl/>
        </w:rPr>
        <w:t xml:space="preserve"> </w:t>
      </w:r>
      <w:r w:rsidRPr="00614AD4">
        <w:rPr>
          <w:rFonts w:hint="eastAsia"/>
          <w:b/>
          <w:bCs/>
          <w:rtl/>
        </w:rPr>
        <w:t>בכיסאות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גלגלים</w:t>
      </w:r>
      <w:r w:rsidRPr="00614AD4">
        <w:rPr>
          <w:b/>
          <w:bCs/>
        </w:rPr>
        <w:t>:</w:t>
      </w:r>
      <w:r w:rsidR="00614AD4">
        <w:rPr>
          <w:rFonts w:hint="cs"/>
          <w:b/>
          <w:bCs/>
          <w:rtl/>
        </w:rPr>
        <w:t xml:space="preserve"> </w:t>
      </w:r>
      <w:r w:rsidRPr="00614AD4">
        <w:rPr>
          <w:rFonts w:hint="eastAsia"/>
          <w:b/>
          <w:bCs/>
          <w:rtl/>
        </w:rPr>
        <w:t>מבט</w:t>
      </w:r>
      <w:r w:rsidRPr="00614AD4">
        <w:rPr>
          <w:b/>
          <w:bCs/>
        </w:rPr>
        <w:t xml:space="preserve"> </w:t>
      </w:r>
      <w:r w:rsidRPr="00614AD4">
        <w:rPr>
          <w:rFonts w:hint="eastAsia"/>
          <w:b/>
          <w:bCs/>
          <w:rtl/>
        </w:rPr>
        <w:t>משווה</w:t>
      </w:r>
      <w:r w:rsidR="00614AD4">
        <w:rPr>
          <w:rFonts w:hint="cs"/>
          <w:rtl/>
        </w:rPr>
        <w:t>,</w:t>
      </w:r>
      <w:r w:rsidRPr="0028652A">
        <w:rPr>
          <w:rtl/>
        </w:rPr>
        <w:t xml:space="preserve">  19.7.2017)</w:t>
      </w:r>
      <w:r w:rsidRPr="00A04933">
        <w:rPr>
          <w:rtl/>
        </w:rPr>
        <w:t xml:space="preserve"> </w:t>
      </w:r>
      <w:r w:rsidR="00601A8B" w:rsidRPr="00A04933">
        <w:rPr>
          <w:rFonts w:hint="eastAsia"/>
          <w:rtl/>
        </w:rPr>
        <w:t>עולה</w:t>
      </w:r>
      <w:r w:rsidR="00601A8B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שישנם</w:t>
      </w:r>
      <w:r w:rsidR="00062BC7" w:rsidRPr="00A04933">
        <w:rPr>
          <w:rtl/>
        </w:rPr>
        <w:t xml:space="preserve"> פתרונות אחרים </w:t>
      </w:r>
      <w:r w:rsidR="00601A8B" w:rsidRPr="00A04933">
        <w:rPr>
          <w:rFonts w:hint="eastAsia"/>
          <w:rtl/>
        </w:rPr>
        <w:t>של</w:t>
      </w:r>
      <w:r w:rsidR="00601A8B" w:rsidRPr="00A04933">
        <w:rPr>
          <w:rtl/>
        </w:rPr>
        <w:t xml:space="preserve"> </w:t>
      </w:r>
      <w:r w:rsidR="00062BC7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הנגשה</w:t>
      </w:r>
      <w:r w:rsidR="00062BC7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הדרגתית</w:t>
      </w:r>
      <w:r w:rsidR="00062BC7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בפריסה</w:t>
      </w:r>
      <w:r w:rsidR="00062BC7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למספר</w:t>
      </w:r>
      <w:r w:rsidR="00062BC7" w:rsidRPr="00A04933">
        <w:rPr>
          <w:rtl/>
        </w:rPr>
        <w:t xml:space="preserve"> </w:t>
      </w:r>
      <w:r w:rsidR="00062BC7" w:rsidRPr="00A04933">
        <w:rPr>
          <w:rFonts w:hint="eastAsia"/>
          <w:rtl/>
        </w:rPr>
        <w:t>שנים</w:t>
      </w:r>
      <w:r w:rsidR="00601A8B" w:rsidRPr="00A04933">
        <w:rPr>
          <w:rtl/>
        </w:rPr>
        <w:t>.</w:t>
      </w:r>
      <w:r w:rsidR="00601A8B">
        <w:rPr>
          <w:rFonts w:hint="cs"/>
          <w:rtl/>
        </w:rPr>
        <w:t xml:space="preserve"> לפי </w:t>
      </w:r>
      <w:r w:rsidR="00062BC7" w:rsidRPr="00E4110B">
        <w:rPr>
          <w:rFonts w:hint="cs"/>
          <w:rtl/>
        </w:rPr>
        <w:t xml:space="preserve">סקירה במספר מדינות </w:t>
      </w:r>
      <w:r w:rsidR="00601A8B">
        <w:rPr>
          <w:rFonts w:hint="cs"/>
          <w:rtl/>
        </w:rPr>
        <w:t>התקופה הממוצעת היא</w:t>
      </w:r>
      <w:r w:rsidR="00062BC7" w:rsidRPr="00E4110B">
        <w:rPr>
          <w:rFonts w:hint="cs"/>
          <w:rtl/>
        </w:rPr>
        <w:t xml:space="preserve"> 14 שנים.  </w:t>
      </w:r>
      <w:r w:rsidR="00601A8B">
        <w:rPr>
          <w:rFonts w:hint="cs"/>
          <w:rtl/>
        </w:rPr>
        <w:t>ה</w:t>
      </w:r>
      <w:r w:rsidR="00062BC7" w:rsidRPr="00E4110B">
        <w:rPr>
          <w:rFonts w:hint="cs"/>
          <w:rtl/>
        </w:rPr>
        <w:t xml:space="preserve">דוח </w:t>
      </w:r>
      <w:r w:rsidR="00601A8B">
        <w:rPr>
          <w:rFonts w:hint="cs"/>
          <w:rtl/>
        </w:rPr>
        <w:t xml:space="preserve">האמור </w:t>
      </w:r>
      <w:r w:rsidR="00062BC7" w:rsidRPr="00E4110B">
        <w:rPr>
          <w:rFonts w:hint="cs"/>
          <w:rtl/>
        </w:rPr>
        <w:t xml:space="preserve">מציין כי במדינות </w:t>
      </w:r>
      <w:r w:rsidR="00614AD4">
        <w:rPr>
          <w:rFonts w:hint="cs"/>
          <w:rtl/>
        </w:rPr>
        <w:t>ה</w:t>
      </w:r>
      <w:r w:rsidR="00062BC7" w:rsidRPr="00E4110B">
        <w:rPr>
          <w:rFonts w:hint="cs"/>
          <w:rtl/>
        </w:rPr>
        <w:t xml:space="preserve">נבדקות הנטל הכלכלי התחלק בין המשרד לבין חברות האוטובוסים, </w:t>
      </w:r>
      <w:r w:rsidR="00601A8B">
        <w:rPr>
          <w:rFonts w:hint="cs"/>
          <w:rtl/>
        </w:rPr>
        <w:t xml:space="preserve">וכן </w:t>
      </w:r>
      <w:r w:rsidR="00062BC7" w:rsidRPr="00E4110B">
        <w:rPr>
          <w:rFonts w:hint="cs"/>
          <w:rtl/>
        </w:rPr>
        <w:t xml:space="preserve">מציין </w:t>
      </w:r>
      <w:r w:rsidR="00601A8B">
        <w:rPr>
          <w:rFonts w:hint="cs"/>
          <w:rtl/>
        </w:rPr>
        <w:t>ש</w:t>
      </w:r>
      <w:r w:rsidR="00062BC7" w:rsidRPr="00E4110B">
        <w:rPr>
          <w:rFonts w:hint="cs"/>
          <w:rtl/>
        </w:rPr>
        <w:t>סביר שבמהלך תקופת היערכות ארוכה</w:t>
      </w:r>
      <w:r w:rsidR="00601A8B">
        <w:rPr>
          <w:rFonts w:hint="cs"/>
          <w:rtl/>
        </w:rPr>
        <w:t>, ממילא</w:t>
      </w:r>
      <w:r w:rsidR="00062BC7" w:rsidRPr="00E4110B">
        <w:rPr>
          <w:rFonts w:hint="cs"/>
          <w:rtl/>
        </w:rPr>
        <w:t xml:space="preserve"> יוחלפו אוטובוסים רבים באוטובוסים חדשים, דבר שיפחית את הצורך בביצוע התאמות לאוטובוסים ישנים.</w:t>
      </w:r>
    </w:p>
    <w:p w14:paraId="71A1193F" w14:textId="08F6001D" w:rsidR="00062BC7" w:rsidRDefault="00601A8B" w:rsidP="00614AD4">
      <w:pPr>
        <w:pStyle w:val="Hesber"/>
        <w:rPr>
          <w:rtl/>
        </w:rPr>
      </w:pPr>
      <w:r>
        <w:rPr>
          <w:rFonts w:hint="cs"/>
          <w:rtl/>
        </w:rPr>
        <w:t>לפיכך</w:t>
      </w:r>
      <w:r w:rsidR="00614AD4">
        <w:rPr>
          <w:rFonts w:hint="cs"/>
          <w:rtl/>
        </w:rPr>
        <w:t>,</w:t>
      </w:r>
      <w:r>
        <w:rPr>
          <w:rFonts w:hint="cs"/>
          <w:rtl/>
        </w:rPr>
        <w:t xml:space="preserve"> מוצע לקבוע </w:t>
      </w:r>
      <w:r w:rsidR="00062BC7" w:rsidRPr="00E4110B">
        <w:rPr>
          <w:rFonts w:hint="cs"/>
          <w:rtl/>
        </w:rPr>
        <w:t xml:space="preserve">חובת </w:t>
      </w:r>
      <w:r>
        <w:rPr>
          <w:rFonts w:hint="cs"/>
          <w:rtl/>
        </w:rPr>
        <w:t xml:space="preserve">ביצוע התאמות </w:t>
      </w:r>
      <w:r w:rsidR="00614AD4">
        <w:rPr>
          <w:rFonts w:hint="cs"/>
          <w:rtl/>
        </w:rPr>
        <w:t xml:space="preserve">נגישות </w:t>
      </w:r>
      <w:r w:rsidR="00062BC7" w:rsidRPr="00E4110B">
        <w:rPr>
          <w:rFonts w:hint="cs"/>
          <w:rtl/>
        </w:rPr>
        <w:t>פיזית לאוטובוסים בין</w:t>
      </w:r>
      <w:r>
        <w:rPr>
          <w:rFonts w:hint="cs"/>
          <w:rtl/>
        </w:rPr>
        <w:t>-</w:t>
      </w:r>
      <w:r w:rsidR="00062BC7" w:rsidRPr="00E4110B">
        <w:rPr>
          <w:rFonts w:hint="cs"/>
          <w:rtl/>
        </w:rPr>
        <w:t xml:space="preserve">עירוניים </w:t>
      </w:r>
      <w:r>
        <w:rPr>
          <w:rFonts w:hint="cs"/>
          <w:rtl/>
        </w:rPr>
        <w:t>בהתאם ל</w:t>
      </w:r>
      <w:r w:rsidR="00062BC7" w:rsidRPr="00E4110B">
        <w:rPr>
          <w:rFonts w:hint="cs"/>
          <w:rtl/>
        </w:rPr>
        <w:t>פרטי</w:t>
      </w:r>
      <w:r>
        <w:rPr>
          <w:rFonts w:hint="cs"/>
          <w:rtl/>
        </w:rPr>
        <w:t>ם ולהסדרים שי</w:t>
      </w:r>
      <w:r w:rsidR="00062BC7" w:rsidRPr="00E4110B">
        <w:rPr>
          <w:rFonts w:hint="cs"/>
          <w:rtl/>
        </w:rPr>
        <w:t>יקבעו בתקנות</w:t>
      </w:r>
      <w:r>
        <w:rPr>
          <w:rFonts w:hint="cs"/>
          <w:rtl/>
        </w:rPr>
        <w:t>, שיוכלו להתי</w:t>
      </w:r>
      <w:r w:rsidR="00614AD4">
        <w:rPr>
          <w:rFonts w:hint="cs"/>
          <w:rtl/>
        </w:rPr>
        <w:t>י</w:t>
      </w:r>
      <w:r>
        <w:rPr>
          <w:rFonts w:hint="cs"/>
          <w:rtl/>
        </w:rPr>
        <w:t>חס, בין השאר, למועדי ביצוע ההנגשה</w:t>
      </w:r>
      <w:r w:rsidR="00614AD4">
        <w:rPr>
          <w:rFonts w:hint="cs"/>
          <w:rtl/>
        </w:rPr>
        <w:t>.</w:t>
      </w:r>
    </w:p>
    <w:p w14:paraId="36B99781" w14:textId="77777777" w:rsidR="00614AD4" w:rsidRDefault="00614AD4" w:rsidP="00614AD4">
      <w:pPr>
        <w:pStyle w:val="Hesber"/>
        <w:rPr>
          <w:rtl/>
        </w:rPr>
      </w:pPr>
    </w:p>
    <w:p w14:paraId="63E0270D" w14:textId="77777777" w:rsidR="00614AD4" w:rsidRDefault="00614AD4" w:rsidP="00614AD4">
      <w:pPr>
        <w:pStyle w:val="Hesber"/>
        <w:rPr>
          <w:rtl/>
        </w:rPr>
      </w:pPr>
    </w:p>
    <w:p w14:paraId="5A2C5AC9" w14:textId="77777777" w:rsidR="00614AD4" w:rsidRPr="00D73212" w:rsidRDefault="00614AD4" w:rsidP="00614AD4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72A3B379" w14:textId="77777777" w:rsidR="00614AD4" w:rsidRPr="00D73212" w:rsidRDefault="00614AD4" w:rsidP="00614AD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0D291CBA" w14:textId="77777777" w:rsidR="00614AD4" w:rsidRPr="00D73212" w:rsidRDefault="00614AD4" w:rsidP="00614AD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7D3FB11B" w14:textId="77777777" w:rsidR="00614AD4" w:rsidRPr="00317312" w:rsidRDefault="00614AD4" w:rsidP="00614AD4">
      <w:pPr>
        <w:pStyle w:val="Hesber"/>
      </w:pPr>
      <w:r>
        <w:rPr>
          <w:rFonts w:hint="cs"/>
          <w:color w:val="auto"/>
          <w:rtl/>
          <w:lang w:eastAsia="en-US"/>
        </w:rPr>
        <w:t>כ"ו בתמוז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9.7.18</w:t>
      </w:r>
    </w:p>
    <w:p w14:paraId="3C278520" w14:textId="77777777" w:rsidR="00614AD4" w:rsidRPr="00E4110B" w:rsidRDefault="00614AD4" w:rsidP="00614AD4">
      <w:pPr>
        <w:pStyle w:val="Hesber"/>
      </w:pPr>
      <w:bookmarkStart w:id="8" w:name="_GoBack"/>
      <w:bookmarkEnd w:id="8"/>
    </w:p>
    <w:p w14:paraId="7F6961CB" w14:textId="77777777" w:rsidR="00E13C27" w:rsidRPr="00062BC7" w:rsidRDefault="00E13C27" w:rsidP="00062BC7">
      <w:pPr>
        <w:pStyle w:val="Hesber"/>
        <w:spacing w:after="240"/>
        <w:rPr>
          <w:rFonts w:ascii="Times New Roman" w:hAnsi="Times New Roman"/>
          <w:sz w:val="22"/>
          <w:szCs w:val="24"/>
          <w:rtl/>
        </w:rPr>
      </w:pPr>
    </w:p>
    <w:sectPr w:rsidR="00E13C27" w:rsidRPr="00062BC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614AD4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742EB533" w14:textId="4BD3DF32" w:rsidR="00601A8B" w:rsidRDefault="00601A8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התשנ"ח, עמ' 152.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2BC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8652A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01A8B"/>
    <w:rsid w:val="00614AD4"/>
    <w:rsid w:val="0062674B"/>
    <w:rsid w:val="006363B2"/>
    <w:rsid w:val="00644940"/>
    <w:rsid w:val="006818A9"/>
    <w:rsid w:val="006A2D81"/>
    <w:rsid w:val="006C1D0D"/>
    <w:rsid w:val="0070601E"/>
    <w:rsid w:val="00712C72"/>
    <w:rsid w:val="007228D0"/>
    <w:rsid w:val="007351C0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04933"/>
    <w:rsid w:val="00A14672"/>
    <w:rsid w:val="00A26BD6"/>
    <w:rsid w:val="00A443CF"/>
    <w:rsid w:val="00A6611D"/>
    <w:rsid w:val="00A82CB7"/>
    <w:rsid w:val="00A942C1"/>
    <w:rsid w:val="00AA2F03"/>
    <w:rsid w:val="00AA5E67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110B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63EE9499-8F5C-4B56-98ED-C300C65C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default">
    <w:name w:val="default"/>
    <w:basedOn w:val="a0"/>
    <w:rsid w:val="00062BC7"/>
    <w:rPr>
      <w:rFonts w:ascii="Times New Roman" w:hAnsi="Times New Roman" w:cs="Times New Roman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D301B-0C3B-4335-9235-AA40B197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13EE17-D69D-48CF-8B3C-4C374C3E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511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חנה קרליץ</cp:lastModifiedBy>
  <cp:revision>8</cp:revision>
  <cp:lastPrinted>2018-07-04T09:48:00Z</cp:lastPrinted>
  <dcterms:created xsi:type="dcterms:W3CDTF">2015-04-20T09:58:00Z</dcterms:created>
  <dcterms:modified xsi:type="dcterms:W3CDTF">2018-07-04T09:48:00Z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2070987</vt:r8>
  </property>
</Properties>
</file>