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2071205</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יוזמת:</w:t>
      </w:r>
      <w:r>
        <w:tab/>
      </w:r>
      <w:r>
        <w:rPr>
          <w:b/>
          <w:bCs/>
          <w:rtl/>
        </w:rPr>
        <w:t xml:space="preserve">      חברת הכנסת</w:t>
      </w:r>
      <w:bookmarkEnd w:id="2"/>
      <w:r w:rsidR="00B35784" w:rsidRPr="00F67051">
        <w:rPr>
          <w:b/>
          <w:bCs/>
        </w:rPr>
        <w:tab/>
      </w:r>
      <w:bookmarkStart w:id="3" w:name="LGS_PM_Names"/>
      <w:r>
        <w:rPr>
          <w:rFonts w:hint="cs"/>
          <w:b/>
          <w:bCs/>
          <w:rtl/>
        </w:rPr>
        <w:t>טלי פלוסקוב</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פ/5506/20</w:t>
      </w:r>
      <w:bookmarkEnd w:id="6"/>
    </w:p>
    <w:p w14:paraId="7F6961AD" w14:textId="121FCB12" w:rsidR="00E13C27" w:rsidRPr="00F67051" w:rsidRDefault="00A443CF" w:rsidP="00B6678E">
      <w:pPr>
        <w:pStyle w:val="HeadHatzaotHok"/>
        <w:rPr>
          <w:rtl/>
        </w:rPr>
      </w:pPr>
      <w:bookmarkStart w:id="7" w:name="LGS_Subject"/>
      <w:r>
        <w:rPr>
          <w:rFonts w:hint="cs"/>
          <w:rtl/>
        </w:rPr>
        <w:t>הצעת חוק הנחה לנכים בתחבורה ציבורית, התשע"ח</w:t>
      </w:r>
      <w:r w:rsidR="00B6678E">
        <w:rPr>
          <w:rFonts w:hint="eastAsia"/>
          <w:rtl/>
        </w:rPr>
        <w:t>–</w:t>
      </w:r>
      <w:r>
        <w:rPr>
          <w:rFonts w:hint="cs"/>
          <w:rtl/>
        </w:rPr>
        <w:t>2018</w:t>
      </w:r>
      <w:bookmarkEnd w:id="7"/>
    </w:p>
    <w:p w14:paraId="7F6961AE" w14:textId="77777777" w:rsidR="00E13C27" w:rsidRDefault="00E13C27" w:rsidP="0021633A">
      <w:pPr>
        <w:pStyle w:val="HeadDivreiHesber"/>
        <w:spacing w:before="0" w:after="0"/>
        <w:rPr>
          <w:rtl/>
        </w:rPr>
      </w:pPr>
    </w:p>
    <w:tbl>
      <w:tblPr>
        <w:bidiVisual/>
        <w:tblW w:w="9643" w:type="dxa"/>
        <w:tblInd w:w="-2" w:type="dxa"/>
        <w:tblLayout w:type="fixed"/>
        <w:tblCellMar>
          <w:top w:w="57" w:type="dxa"/>
          <w:left w:w="0" w:type="dxa"/>
          <w:bottom w:w="57" w:type="dxa"/>
          <w:right w:w="0" w:type="dxa"/>
        </w:tblCellMar>
        <w:tblLook w:val="0000" w:firstRow="0" w:lastRow="0" w:firstColumn="0" w:lastColumn="0" w:noHBand="0" w:noVBand="0"/>
      </w:tblPr>
      <w:tblGrid>
        <w:gridCol w:w="1872"/>
        <w:gridCol w:w="624"/>
        <w:gridCol w:w="7147"/>
      </w:tblGrid>
      <w:tr w:rsidR="00DE4179" w14:paraId="715A8BFA" w14:textId="77777777" w:rsidTr="00B55249">
        <w:trPr>
          <w:cantSplit/>
        </w:trPr>
        <w:tc>
          <w:tcPr>
            <w:tcW w:w="1872" w:type="dxa"/>
            <w:tcBorders>
              <w:top w:val="nil"/>
              <w:left w:val="nil"/>
              <w:bottom w:val="nil"/>
              <w:right w:val="nil"/>
            </w:tcBorders>
          </w:tcPr>
          <w:p w14:paraId="4D119539" w14:textId="77777777" w:rsidR="00DE4179" w:rsidRDefault="00DE4179" w:rsidP="00B55249">
            <w:pPr>
              <w:pStyle w:val="TableSideHeading"/>
            </w:pPr>
            <w:r>
              <w:rPr>
                <w:sz w:val="26"/>
                <w:rtl/>
              </w:rPr>
              <w:t>הנחה בתחבורה ציבורית</w:t>
            </w:r>
          </w:p>
        </w:tc>
        <w:tc>
          <w:tcPr>
            <w:tcW w:w="624" w:type="dxa"/>
            <w:tcBorders>
              <w:top w:val="nil"/>
              <w:left w:val="nil"/>
              <w:bottom w:val="nil"/>
              <w:right w:val="nil"/>
            </w:tcBorders>
          </w:tcPr>
          <w:p w14:paraId="36967A75" w14:textId="77777777" w:rsidR="00DE4179" w:rsidRDefault="00DE4179" w:rsidP="00B55249">
            <w:pPr>
              <w:pStyle w:val="TableText"/>
            </w:pPr>
            <w:r>
              <w:rPr>
                <w:sz w:val="26"/>
                <w:rtl/>
              </w:rPr>
              <w:t>1.</w:t>
            </w:r>
          </w:p>
        </w:tc>
        <w:tc>
          <w:tcPr>
            <w:tcW w:w="7147" w:type="dxa"/>
            <w:tcBorders>
              <w:top w:val="nil"/>
              <w:left w:val="nil"/>
              <w:bottom w:val="nil"/>
              <w:right w:val="nil"/>
            </w:tcBorders>
          </w:tcPr>
          <w:p w14:paraId="45E4B0AC" w14:textId="3E10335B" w:rsidR="00DE4179" w:rsidRDefault="00DE4179" w:rsidP="00556B12">
            <w:pPr>
              <w:pStyle w:val="TableBlock"/>
            </w:pPr>
            <w:r>
              <w:rPr>
                <w:sz w:val="26"/>
                <w:rtl/>
              </w:rPr>
              <w:t>נכה, כהגדרתו בסעיף 195 לחוק הביטוח הלאומי [נוסח משולב], התשנ"ה–1995</w:t>
            </w:r>
            <w:r>
              <w:rPr>
                <w:rStyle w:val="a6"/>
                <w:sz w:val="26"/>
                <w:rtl/>
              </w:rPr>
              <w:footnoteReference w:id="2"/>
            </w:r>
            <w:r>
              <w:rPr>
                <w:sz w:val="26"/>
                <w:rtl/>
              </w:rPr>
              <w:t xml:space="preserve">, זכאי להנחה בנסיעה בשירותי תחבורה ציבורית, ששיעורה יהיה </w:t>
            </w:r>
            <w:r>
              <w:rPr>
                <w:rFonts w:hint="cs"/>
                <w:sz w:val="26"/>
                <w:rtl/>
              </w:rPr>
              <w:t>50</w:t>
            </w:r>
            <w:r w:rsidR="005B700C">
              <w:rPr>
                <w:rFonts w:hint="cs"/>
                <w:sz w:val="26"/>
                <w:rtl/>
              </w:rPr>
              <w:t xml:space="preserve"> אחוזים</w:t>
            </w:r>
            <w:r>
              <w:rPr>
                <w:rFonts w:hint="cs"/>
                <w:sz w:val="26"/>
                <w:rtl/>
              </w:rPr>
              <w:t>.</w:t>
            </w:r>
          </w:p>
        </w:tc>
      </w:tr>
      <w:tr w:rsidR="00DE4179" w14:paraId="16C4BC10" w14:textId="77777777" w:rsidTr="00B55249">
        <w:trPr>
          <w:cantSplit/>
        </w:trPr>
        <w:tc>
          <w:tcPr>
            <w:tcW w:w="1872" w:type="dxa"/>
            <w:tcBorders>
              <w:top w:val="nil"/>
              <w:left w:val="nil"/>
              <w:bottom w:val="nil"/>
              <w:right w:val="nil"/>
            </w:tcBorders>
          </w:tcPr>
          <w:p w14:paraId="39B8D953" w14:textId="77777777" w:rsidR="00DE4179" w:rsidRDefault="00DE4179" w:rsidP="00B55249">
            <w:pPr>
              <w:pStyle w:val="TableSideHeading"/>
            </w:pPr>
            <w:r>
              <w:rPr>
                <w:sz w:val="26"/>
                <w:rtl/>
              </w:rPr>
              <w:t>ביצוע ותקנות</w:t>
            </w:r>
          </w:p>
        </w:tc>
        <w:tc>
          <w:tcPr>
            <w:tcW w:w="624" w:type="dxa"/>
            <w:tcBorders>
              <w:top w:val="nil"/>
              <w:left w:val="nil"/>
              <w:bottom w:val="nil"/>
              <w:right w:val="nil"/>
            </w:tcBorders>
          </w:tcPr>
          <w:p w14:paraId="03762763" w14:textId="77777777" w:rsidR="00DE4179" w:rsidRDefault="00DE4179" w:rsidP="00B55249">
            <w:pPr>
              <w:pStyle w:val="TableText"/>
            </w:pPr>
            <w:r>
              <w:rPr>
                <w:sz w:val="26"/>
                <w:rtl/>
              </w:rPr>
              <w:t>2.</w:t>
            </w:r>
          </w:p>
        </w:tc>
        <w:tc>
          <w:tcPr>
            <w:tcW w:w="7147" w:type="dxa"/>
            <w:tcBorders>
              <w:top w:val="nil"/>
              <w:left w:val="nil"/>
              <w:bottom w:val="nil"/>
              <w:right w:val="nil"/>
            </w:tcBorders>
          </w:tcPr>
          <w:p w14:paraId="66D1B975" w14:textId="1EE3283F" w:rsidR="00DE4179" w:rsidRDefault="00DE4179" w:rsidP="00DE34F0">
            <w:pPr>
              <w:pStyle w:val="TableBlock"/>
            </w:pPr>
            <w:r>
              <w:rPr>
                <w:sz w:val="26"/>
                <w:rtl/>
              </w:rPr>
              <w:t xml:space="preserve">שר </w:t>
            </w:r>
            <w:r w:rsidR="00DE34F0">
              <w:rPr>
                <w:rFonts w:hint="cs"/>
                <w:sz w:val="26"/>
                <w:rtl/>
              </w:rPr>
              <w:t xml:space="preserve">העבודה, </w:t>
            </w:r>
            <w:r>
              <w:rPr>
                <w:sz w:val="26"/>
                <w:rtl/>
              </w:rPr>
              <w:t>הרווחה והשירותים החברתיים ממונה על ביצוע חוק זה והוא רשאי, בהתייעצות עם שר התחבורה והבטיחות בדרכים, להתקין תקנות לביצועו.</w:t>
            </w:r>
          </w:p>
        </w:tc>
      </w:tr>
    </w:tbl>
    <w:p w14:paraId="7F6961CA" w14:textId="77777777" w:rsidR="002D1EE3" w:rsidRDefault="002D1EE3" w:rsidP="002D1EE3">
      <w:pPr>
        <w:pStyle w:val="HeadDivreiHesber"/>
        <w:rPr>
          <w:rtl/>
        </w:rPr>
      </w:pPr>
      <w:r w:rsidRPr="0027450A">
        <w:rPr>
          <w:rFonts w:hint="cs"/>
          <w:rtl/>
        </w:rPr>
        <w:t>דברי הסבר</w:t>
      </w:r>
    </w:p>
    <w:p w14:paraId="3DD37E57" w14:textId="5885B624" w:rsidR="00DE4179" w:rsidRDefault="00DE4179" w:rsidP="00022AD1">
      <w:pPr>
        <w:pStyle w:val="Hesber"/>
        <w:rPr>
          <w:sz w:val="26"/>
          <w:rtl/>
        </w:rPr>
      </w:pPr>
      <w:r>
        <w:rPr>
          <w:sz w:val="26"/>
          <w:rtl/>
        </w:rPr>
        <w:t xml:space="preserve">אנשים עם מוגבלות מתקשים בפרנסה או בניידות, ועל כן </w:t>
      </w:r>
      <w:r w:rsidR="00022AD1">
        <w:rPr>
          <w:rFonts w:hint="cs"/>
          <w:sz w:val="26"/>
          <w:rtl/>
        </w:rPr>
        <w:t>החברה הישראלית</w:t>
      </w:r>
      <w:r>
        <w:rPr>
          <w:sz w:val="26"/>
          <w:rtl/>
        </w:rPr>
        <w:t>, כחברה שוחרת-טוב, מצוו</w:t>
      </w:r>
      <w:r w:rsidR="00022AD1">
        <w:rPr>
          <w:rFonts w:hint="cs"/>
          <w:sz w:val="26"/>
          <w:rtl/>
        </w:rPr>
        <w:t>ה</w:t>
      </w:r>
      <w:r>
        <w:rPr>
          <w:sz w:val="26"/>
          <w:rtl/>
        </w:rPr>
        <w:t xml:space="preserve"> להתחשב בכך ולהעניק סעד בהתאם.</w:t>
      </w:r>
      <w:r>
        <w:rPr>
          <w:rFonts w:hint="cs"/>
          <w:sz w:val="26"/>
          <w:rtl/>
        </w:rPr>
        <w:t xml:space="preserve"> כיום ניתנת הנחה של 33% בלבד בתחבורה הציבורית. תחבורה ציבורית עבור אנשים עם מוגבלות היא מצרך חיוני לשיפור אורח חייהם, להפחתת הבדידות החברתית, ולהקלה בנגישות לטיפולים השונים. על כן, עלויות הניידות שלהן גבוהות ביחס לאזרחים אשר מסוגלים להתנייד באופן עצמאי.</w:t>
      </w:r>
    </w:p>
    <w:p w14:paraId="75A2A013" w14:textId="0B8BC53E" w:rsidR="00DE4179" w:rsidRDefault="00DE4179" w:rsidP="00DE34F0">
      <w:pPr>
        <w:pStyle w:val="Hesber"/>
        <w:rPr>
          <w:sz w:val="26"/>
          <w:rtl/>
        </w:rPr>
      </w:pPr>
      <w:r>
        <w:rPr>
          <w:sz w:val="26"/>
          <w:rtl/>
        </w:rPr>
        <w:t xml:space="preserve">לפיכך, מוצע </w:t>
      </w:r>
      <w:r>
        <w:rPr>
          <w:rFonts w:hint="cs"/>
          <w:sz w:val="26"/>
          <w:rtl/>
        </w:rPr>
        <w:t>לקבוע כי ההנחה בתחבורה הציבורית ת</w:t>
      </w:r>
      <w:r w:rsidR="00EB62D3">
        <w:rPr>
          <w:rFonts w:hint="cs"/>
          <w:sz w:val="26"/>
          <w:rtl/>
        </w:rPr>
        <w:t>ו</w:t>
      </w:r>
      <w:r>
        <w:rPr>
          <w:rFonts w:hint="cs"/>
          <w:sz w:val="26"/>
          <w:rtl/>
        </w:rPr>
        <w:t>גדל ל-50% במקום 33% כיום.</w:t>
      </w:r>
    </w:p>
    <w:p w14:paraId="7F6961CB" w14:textId="4A2C570E" w:rsidR="00E13C27" w:rsidRDefault="00DE4179" w:rsidP="00022AD1">
      <w:pPr>
        <w:pStyle w:val="Hesber"/>
        <w:ind w:firstLine="0"/>
        <w:rPr>
          <w:rtl/>
        </w:rPr>
      </w:pPr>
      <w:r>
        <w:rPr>
          <w:sz w:val="26"/>
          <w:rtl/>
        </w:rPr>
        <w:t xml:space="preserve">הצעות חוק דומות בעיקרן הונחו על שולחן הכנסת השש-עשרה על ידי חברת הכנסת נעמי בלומנטל (פ/2060), </w:t>
      </w:r>
      <w:r w:rsidR="00022AD1">
        <w:rPr>
          <w:rFonts w:hint="cs"/>
          <w:sz w:val="26"/>
          <w:rtl/>
        </w:rPr>
        <w:t>ו</w:t>
      </w:r>
      <w:r>
        <w:rPr>
          <w:sz w:val="26"/>
          <w:rtl/>
        </w:rPr>
        <w:t>על ידי חבר הכנסת בנימין בן-אליעזר (פ/2061</w:t>
      </w:r>
      <w:r w:rsidR="00022AD1">
        <w:rPr>
          <w:sz w:val="26"/>
          <w:rtl/>
        </w:rPr>
        <w:t xml:space="preserve">), </w:t>
      </w:r>
      <w:r>
        <w:rPr>
          <w:sz w:val="26"/>
          <w:rtl/>
        </w:rPr>
        <w:t>על שולחן הכנסת השבע-עשרה על ידי חברי הכנסת נאדיה חילו ומיכאל מלכיאור (פ/2518/17)</w:t>
      </w:r>
      <w:r w:rsidR="00DE34F0">
        <w:rPr>
          <w:rFonts w:hint="cs"/>
          <w:sz w:val="26"/>
          <w:rtl/>
        </w:rPr>
        <w:t xml:space="preserve"> ו</w:t>
      </w:r>
      <w:r w:rsidR="00DE34F0">
        <w:rPr>
          <w:sz w:val="26"/>
          <w:rtl/>
        </w:rPr>
        <w:t>על ידי חבר הכנסת משה שרוני (פ/3301/17),</w:t>
      </w:r>
      <w:r w:rsidR="00DE34F0">
        <w:rPr>
          <w:rFonts w:hint="cs"/>
          <w:sz w:val="26"/>
          <w:rtl/>
        </w:rPr>
        <w:t xml:space="preserve"> </w:t>
      </w:r>
      <w:r w:rsidR="00022AD1">
        <w:rPr>
          <w:rFonts w:hint="cs"/>
          <w:sz w:val="26"/>
          <w:rtl/>
        </w:rPr>
        <w:t>ו</w:t>
      </w:r>
      <w:r w:rsidR="00DE34F0">
        <w:rPr>
          <w:sz w:val="26"/>
          <w:rtl/>
        </w:rPr>
        <w:t>על שולחן הכנסת השמונה-עשרה</w:t>
      </w:r>
      <w:r w:rsidR="00022AD1">
        <w:rPr>
          <w:rFonts w:hint="cs"/>
          <w:sz w:val="26"/>
          <w:rtl/>
        </w:rPr>
        <w:t>, על שולחן הכנסת התשע-עשרה ועל שולחן הכנסת העשרים</w:t>
      </w:r>
      <w:r w:rsidR="00DE34F0">
        <w:rPr>
          <w:sz w:val="26"/>
          <w:rtl/>
        </w:rPr>
        <w:t xml:space="preserve"> על ידי חבר הכנסת דב חנין וקבוצת חברי הכנסת (פ/920/18</w:t>
      </w:r>
      <w:r w:rsidR="00022AD1">
        <w:rPr>
          <w:rFonts w:hint="cs"/>
          <w:sz w:val="26"/>
          <w:rtl/>
        </w:rPr>
        <w:t>;</w:t>
      </w:r>
      <w:r w:rsidR="00DE34F0">
        <w:rPr>
          <w:rFonts w:hint="cs"/>
          <w:rtl/>
        </w:rPr>
        <w:t xml:space="preserve"> </w:t>
      </w:r>
      <w:r w:rsidR="00DE34F0">
        <w:rPr>
          <w:sz w:val="26"/>
          <w:rtl/>
        </w:rPr>
        <w:t>פ/</w:t>
      </w:r>
      <w:r w:rsidR="00DE34F0">
        <w:rPr>
          <w:rFonts w:hint="cs"/>
          <w:sz w:val="26"/>
          <w:rtl/>
        </w:rPr>
        <w:t>59</w:t>
      </w:r>
      <w:r w:rsidR="00DE34F0">
        <w:rPr>
          <w:sz w:val="26"/>
          <w:rtl/>
        </w:rPr>
        <w:t>/</w:t>
      </w:r>
      <w:r w:rsidR="00DE34F0">
        <w:rPr>
          <w:rFonts w:hint="cs"/>
          <w:sz w:val="26"/>
          <w:rtl/>
        </w:rPr>
        <w:t>19</w:t>
      </w:r>
      <w:r w:rsidR="00022AD1">
        <w:rPr>
          <w:rFonts w:hint="cs"/>
          <w:sz w:val="26"/>
          <w:rtl/>
        </w:rPr>
        <w:t xml:space="preserve">; </w:t>
      </w:r>
      <w:r w:rsidR="005B700C">
        <w:rPr>
          <w:rFonts w:hint="cs"/>
          <w:sz w:val="26"/>
          <w:rtl/>
        </w:rPr>
        <w:t>פ/382/20).</w:t>
      </w:r>
    </w:p>
    <w:p w14:paraId="2A7AF596" w14:textId="77777777" w:rsidR="00022AD1" w:rsidRDefault="00022AD1" w:rsidP="00022AD1">
      <w:pPr>
        <w:pStyle w:val="Hesber"/>
        <w:ind w:firstLine="0"/>
        <w:rPr>
          <w:rtl/>
        </w:rPr>
      </w:pPr>
    </w:p>
    <w:p w14:paraId="47E535EF" w14:textId="77777777" w:rsidR="00022AD1" w:rsidRPr="00D73212" w:rsidRDefault="00022AD1" w:rsidP="00022AD1">
      <w:pPr>
        <w:pStyle w:val="Hesber"/>
        <w:rPr>
          <w:color w:val="auto"/>
          <w:rtl/>
          <w:lang w:eastAsia="en-US"/>
        </w:rPr>
      </w:pPr>
      <w:r w:rsidRPr="00D73212">
        <w:rPr>
          <w:color w:val="auto"/>
          <w:rtl/>
          <w:lang w:eastAsia="en-US"/>
        </w:rPr>
        <w:t>---------------------------------</w:t>
      </w:r>
    </w:p>
    <w:p w14:paraId="3F52E5E5" w14:textId="77777777" w:rsidR="00022AD1" w:rsidRPr="00D73212" w:rsidRDefault="00022AD1" w:rsidP="00022AD1">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6A4A5463" w14:textId="77777777" w:rsidR="00022AD1" w:rsidRPr="00D73212" w:rsidRDefault="00022AD1" w:rsidP="00022AD1">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40943DC5" w14:textId="77777777" w:rsidR="00022AD1" w:rsidRPr="00317312" w:rsidRDefault="00022AD1" w:rsidP="00022AD1">
      <w:pPr>
        <w:pStyle w:val="Hesber"/>
      </w:pPr>
      <w:r>
        <w:rPr>
          <w:rFonts w:hint="cs"/>
          <w:color w:val="auto"/>
          <w:rtl/>
          <w:lang w:eastAsia="en-US"/>
        </w:rPr>
        <w:t>י"ב בתמוז</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ח</w:t>
      </w:r>
      <w:r w:rsidRPr="00D73212">
        <w:rPr>
          <w:color w:val="auto"/>
          <w:rtl/>
          <w:lang w:eastAsia="en-US"/>
        </w:rPr>
        <w:t xml:space="preserve"> – </w:t>
      </w:r>
      <w:r>
        <w:rPr>
          <w:rFonts w:hint="cs"/>
          <w:color w:val="auto"/>
          <w:rtl/>
          <w:lang w:eastAsia="en-US"/>
        </w:rPr>
        <w:t>25.6.18</w:t>
      </w:r>
      <w:bookmarkStart w:id="8" w:name="_GoBack"/>
      <w:bookmarkEnd w:id="8"/>
    </w:p>
    <w:sectPr w:rsidR="00022AD1" w:rsidRPr="00317312"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altName w:val="Malgun Gothic Semilight"/>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022AD1">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146F5D46" w14:textId="77777777" w:rsidR="00DE4179" w:rsidRDefault="00DE4179" w:rsidP="00DE4179">
      <w:pPr>
        <w:pStyle w:val="a4"/>
      </w:pPr>
      <w:r>
        <w:rPr>
          <w:rStyle w:val="a6"/>
        </w:rPr>
        <w:footnoteRef/>
      </w:r>
      <w:r>
        <w:rPr>
          <w:sz w:val="20"/>
          <w:rtl/>
        </w:rPr>
        <w:t xml:space="preserve"> ס"ח התשנ"ה, עמ' 210.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22AD1"/>
    <w:rsid w:val="00046234"/>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A5136"/>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56B12"/>
    <w:rsid w:val="00562A66"/>
    <w:rsid w:val="005B064E"/>
    <w:rsid w:val="005B700C"/>
    <w:rsid w:val="005D51AE"/>
    <w:rsid w:val="0062674B"/>
    <w:rsid w:val="006363B2"/>
    <w:rsid w:val="00644940"/>
    <w:rsid w:val="006818A9"/>
    <w:rsid w:val="006A2D81"/>
    <w:rsid w:val="006C1D0D"/>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6678E"/>
    <w:rsid w:val="00B733A7"/>
    <w:rsid w:val="00B75C91"/>
    <w:rsid w:val="00B975AD"/>
    <w:rsid w:val="00BC45FB"/>
    <w:rsid w:val="00BF148D"/>
    <w:rsid w:val="00C23B1A"/>
    <w:rsid w:val="00C310EB"/>
    <w:rsid w:val="00C9176A"/>
    <w:rsid w:val="00CF1AA2"/>
    <w:rsid w:val="00D142D3"/>
    <w:rsid w:val="00D17774"/>
    <w:rsid w:val="00D63620"/>
    <w:rsid w:val="00D8410D"/>
    <w:rsid w:val="00D867D7"/>
    <w:rsid w:val="00DB7060"/>
    <w:rsid w:val="00DE3153"/>
    <w:rsid w:val="00DE34F0"/>
    <w:rsid w:val="00DE4179"/>
    <w:rsid w:val="00E06736"/>
    <w:rsid w:val="00E13C27"/>
    <w:rsid w:val="00E33BBD"/>
    <w:rsid w:val="00E374F2"/>
    <w:rsid w:val="00E45103"/>
    <w:rsid w:val="00E55A60"/>
    <w:rsid w:val="00E62778"/>
    <w:rsid w:val="00E635A2"/>
    <w:rsid w:val="00E63A2F"/>
    <w:rsid w:val="00E63D38"/>
    <w:rsid w:val="00E665B9"/>
    <w:rsid w:val="00EA01E6"/>
    <w:rsid w:val="00EA3DE8"/>
    <w:rsid w:val="00EA758F"/>
    <w:rsid w:val="00EB62D3"/>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34DA7A4-8780-4D24-BC70-104AEA4A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uiPriority w:val="99"/>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uiPriority w:val="99"/>
    <w:rsid w:val="00B975AD"/>
  </w:style>
  <w:style w:type="paragraph" w:customStyle="1" w:styleId="TableBlock">
    <w:name w:val="Table Block"/>
    <w:basedOn w:val="TableText"/>
    <w:uiPriority w:val="99"/>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rsid w:val="00046234"/>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6BDCB-3429-407F-86DE-D644561D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4AFE3-9455-419C-8851-785A55F445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D29D0231-9B4E-4E9E-9C2F-113E4E81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255</Words>
  <Characters>1278</Characters>
  <Application>Microsoft Office Word</Application>
  <DocSecurity>0</DocSecurity>
  <Lines>10</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חנה קרליץ</cp:lastModifiedBy>
  <cp:revision>10</cp:revision>
  <cp:lastPrinted>2018-06-20T09:40:00Z</cp:lastPrinted>
  <dcterms:created xsi:type="dcterms:W3CDTF">2015-04-20T09:58:00Z</dcterms:created>
  <dcterms:modified xsi:type="dcterms:W3CDTF">2018-06-20T09:42:00Z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2071205</vt:r8>
  </property>
</Properties>
</file>