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2065165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קארין אלהרר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מאיר כהן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אלעזר שטרן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איימן עודה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מרב מיכאלי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שלי יחימוביץ'</w:t>
      </w:r>
      <w:bookmarkEnd w:id="3"/>
    </w:p>
    <w:p w14:paraId="2F117CCC" w14:textId="03B735FD" w:rsidR="00FA1BF8" w:rsidRPr="00FA1BF8" w:rsidRDefault="00266D86" w:rsidP="00FA1BF8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FA1BF8">
        <w:t xml:space="preserve">           </w:t>
      </w:r>
      <w:r w:rsidR="00FA1BF8">
        <w:rPr>
          <w:rFonts w:hint="cs"/>
          <w:rtl/>
        </w:rPr>
        <w:t>פ/5238/20</w:t>
      </w:r>
      <w:r w:rsidR="00FA1BF8">
        <w:t xml:space="preserve">      </w:t>
      </w:r>
      <w:bookmarkStart w:id="4" w:name="LGS_Subject"/>
    </w:p>
    <w:p w14:paraId="7F6961AD" w14:textId="4CED7A32" w:rsidR="00E13C27" w:rsidRPr="00F67051" w:rsidRDefault="00A443CF" w:rsidP="00FA1BF8">
      <w:pPr>
        <w:pStyle w:val="HeadHatzaotHok"/>
        <w:rPr>
          <w:rtl/>
        </w:rPr>
      </w:pPr>
      <w:r>
        <w:rPr>
          <w:rFonts w:hint="cs"/>
          <w:rtl/>
        </w:rPr>
        <w:t>הצעת חוק הבחירות לכנסת (תיקון – תחבורה ציבורית עירונית ללא תשלום ביום הבחירות</w:t>
      </w:r>
      <w:r w:rsidR="008A2046">
        <w:rPr>
          <w:rFonts w:hint="cs"/>
          <w:rtl/>
        </w:rPr>
        <w:t xml:space="preserve"> לצורך הצבעה</w:t>
      </w:r>
      <w:r>
        <w:rPr>
          <w:rFonts w:hint="cs"/>
          <w:rtl/>
        </w:rPr>
        <w:t>), התשע"ח</w:t>
      </w:r>
      <w:r w:rsidR="00575493">
        <w:rPr>
          <w:rFonts w:hint="cs"/>
          <w:rtl/>
        </w:rPr>
        <w:t>–</w:t>
      </w:r>
      <w:r>
        <w:rPr>
          <w:rFonts w:hint="cs"/>
          <w:rtl/>
        </w:rPr>
        <w:t>2018</w:t>
      </w:r>
      <w:bookmarkEnd w:id="4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D92F53" w14:paraId="63C44406" w14:textId="77777777" w:rsidTr="003D2243">
        <w:trPr>
          <w:cantSplit/>
          <w:trHeight w:val="60"/>
        </w:trPr>
        <w:tc>
          <w:tcPr>
            <w:tcW w:w="1871" w:type="dxa"/>
          </w:tcPr>
          <w:p w14:paraId="790B9A42" w14:textId="77777777" w:rsidR="00D92F53" w:rsidRPr="00046868" w:rsidRDefault="00D92F53" w:rsidP="003D2243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134א</w:t>
            </w:r>
          </w:p>
        </w:tc>
        <w:tc>
          <w:tcPr>
            <w:tcW w:w="624" w:type="dxa"/>
          </w:tcPr>
          <w:p w14:paraId="4D29CFCF" w14:textId="77777777" w:rsidR="00D92F53" w:rsidRDefault="00D92F53" w:rsidP="00D92F53">
            <w:pPr>
              <w:pStyle w:val="TableText"/>
              <w:keepLines w:val="0"/>
              <w:numPr>
                <w:ilvl w:val="0"/>
                <w:numId w:val="12"/>
              </w:numPr>
            </w:pPr>
          </w:p>
        </w:tc>
        <w:tc>
          <w:tcPr>
            <w:tcW w:w="7146" w:type="dxa"/>
          </w:tcPr>
          <w:p w14:paraId="58161F86" w14:textId="215615F0" w:rsidR="00D92F53" w:rsidRPr="00C34DE2" w:rsidRDefault="00D92F53" w:rsidP="00575493">
            <w:pPr>
              <w:pStyle w:val="TableBlock"/>
              <w:keepLines w:val="0"/>
            </w:pPr>
            <w:r>
              <w:rPr>
                <w:rFonts w:hint="cs"/>
                <w:rtl/>
              </w:rPr>
              <w:t>בחוק הבחירות לכנסת [נוסח משולב], התשכ"ט</w:t>
            </w:r>
            <w:r w:rsidR="00575493">
              <w:rPr>
                <w:rFonts w:hint="cs"/>
                <w:rtl/>
              </w:rPr>
              <w:t>–</w:t>
            </w:r>
            <w:r>
              <w:rPr>
                <w:rFonts w:hint="cs"/>
                <w:rtl/>
              </w:rPr>
              <w:t>1969</w:t>
            </w:r>
            <w:r w:rsidR="00575493">
              <w:rPr>
                <w:rStyle w:val="a5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, בסעיף 134א </w:t>
            </w:r>
            <w:r w:rsidR="00575493">
              <w:rPr>
                <w:rFonts w:hint="cs"/>
                <w:rtl/>
              </w:rPr>
              <w:t xml:space="preserve">– 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D92F53" w14:paraId="53BD0B7F" w14:textId="77777777" w:rsidTr="003D2243">
        <w:trPr>
          <w:cantSplit/>
          <w:trHeight w:val="60"/>
        </w:trPr>
        <w:tc>
          <w:tcPr>
            <w:tcW w:w="1871" w:type="dxa"/>
          </w:tcPr>
          <w:p w14:paraId="7B728D0B" w14:textId="77777777" w:rsidR="00D92F53" w:rsidRDefault="00D92F53" w:rsidP="003D2243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7499CA4A" w14:textId="77777777" w:rsidR="00D92F53" w:rsidRDefault="00D92F53" w:rsidP="003D2243">
            <w:pPr>
              <w:pStyle w:val="TableText"/>
            </w:pPr>
          </w:p>
        </w:tc>
        <w:tc>
          <w:tcPr>
            <w:tcW w:w="7146" w:type="dxa"/>
          </w:tcPr>
          <w:p w14:paraId="4AF27D48" w14:textId="77777777" w:rsidR="00D92F53" w:rsidRDefault="00D92F53" w:rsidP="00D92F53">
            <w:pPr>
              <w:pStyle w:val="TableBlock"/>
              <w:numPr>
                <w:ilvl w:val="0"/>
                <w:numId w:val="15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המילים "מתחום גבולותיו של יישוב אחד למשנהו וחזרה"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יימחקו;</w:t>
            </w:r>
          </w:p>
        </w:tc>
      </w:tr>
      <w:tr w:rsidR="00D92F53" w14:paraId="10B5B081" w14:textId="77777777" w:rsidTr="003D2243">
        <w:trPr>
          <w:cantSplit/>
          <w:trHeight w:val="60"/>
        </w:trPr>
        <w:tc>
          <w:tcPr>
            <w:tcW w:w="1871" w:type="dxa"/>
          </w:tcPr>
          <w:p w14:paraId="166EE6E6" w14:textId="77777777" w:rsidR="00D92F53" w:rsidRDefault="00D92F53" w:rsidP="003D2243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379CBE47" w14:textId="77777777" w:rsidR="00D92F53" w:rsidRDefault="00D92F53" w:rsidP="003D2243">
            <w:pPr>
              <w:pStyle w:val="TableText"/>
            </w:pPr>
          </w:p>
        </w:tc>
        <w:tc>
          <w:tcPr>
            <w:tcW w:w="7146" w:type="dxa"/>
          </w:tcPr>
          <w:p w14:paraId="133C7087" w14:textId="77777777" w:rsidR="00D92F53" w:rsidRDefault="00D92F53" w:rsidP="00D92F53">
            <w:pPr>
              <w:pStyle w:val="TableBlock"/>
              <w:numPr>
                <w:ilvl w:val="0"/>
                <w:numId w:val="15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אחרי "באמצעות הוועדה המרכזית" יבוא "ומשרד התחבורה והבטיחות בדרכים, בחלקים שווים";</w:t>
            </w:r>
          </w:p>
        </w:tc>
      </w:tr>
      <w:tr w:rsidR="00D92F53" w14:paraId="194C24D7" w14:textId="77777777" w:rsidTr="003D2243">
        <w:trPr>
          <w:cantSplit/>
          <w:trHeight w:val="60"/>
        </w:trPr>
        <w:tc>
          <w:tcPr>
            <w:tcW w:w="1871" w:type="dxa"/>
          </w:tcPr>
          <w:p w14:paraId="254106F4" w14:textId="77777777" w:rsidR="00D92F53" w:rsidRDefault="00D92F53" w:rsidP="003D2243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4AB47A0F" w14:textId="77777777" w:rsidR="00D92F53" w:rsidRDefault="00D92F53" w:rsidP="003D2243">
            <w:pPr>
              <w:pStyle w:val="TableText"/>
            </w:pPr>
          </w:p>
        </w:tc>
        <w:tc>
          <w:tcPr>
            <w:tcW w:w="7146" w:type="dxa"/>
          </w:tcPr>
          <w:p w14:paraId="08BB6CDE" w14:textId="77777777" w:rsidR="00D92F53" w:rsidRDefault="00D92F53" w:rsidP="00D92F53">
            <w:pPr>
              <w:pStyle w:val="TableBlock"/>
              <w:numPr>
                <w:ilvl w:val="0"/>
                <w:numId w:val="15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במקום "ולמרחקים" יבוא "ציבורית";</w:t>
            </w:r>
          </w:p>
        </w:tc>
      </w:tr>
      <w:tr w:rsidR="00D92F53" w14:paraId="3C581D8C" w14:textId="77777777" w:rsidTr="003D2243">
        <w:trPr>
          <w:cantSplit/>
          <w:trHeight w:val="60"/>
        </w:trPr>
        <w:tc>
          <w:tcPr>
            <w:tcW w:w="1871" w:type="dxa"/>
          </w:tcPr>
          <w:p w14:paraId="192E1BAF" w14:textId="77777777" w:rsidR="00D92F53" w:rsidRDefault="00D92F53" w:rsidP="003D2243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8E8B84E" w14:textId="77777777" w:rsidR="00D92F53" w:rsidRDefault="00D92F53" w:rsidP="003D2243">
            <w:pPr>
              <w:pStyle w:val="TableText"/>
            </w:pPr>
          </w:p>
        </w:tc>
        <w:tc>
          <w:tcPr>
            <w:tcW w:w="7146" w:type="dxa"/>
          </w:tcPr>
          <w:p w14:paraId="32F356DD" w14:textId="77777777" w:rsidR="00D92F53" w:rsidRDefault="00D92F53" w:rsidP="00D92F53">
            <w:pPr>
              <w:pStyle w:val="TableBlock"/>
              <w:numPr>
                <w:ilvl w:val="0"/>
                <w:numId w:val="15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אחרי "סמוך ליום הבחירות" יבוא "מתחום גבולותיו של יישוב אחד למשנהו וחזרה".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22FF8FA1" w14:textId="650A8EDC" w:rsidR="00D92F53" w:rsidRDefault="00A83BE7" w:rsidP="00A613E7">
      <w:pPr>
        <w:pStyle w:val="Hesber1st"/>
        <w:tabs>
          <w:tab w:val="clear" w:pos="680"/>
        </w:tabs>
        <w:ind w:firstLine="283"/>
        <w:rPr>
          <w:rtl/>
        </w:rPr>
      </w:pPr>
      <w:r>
        <w:rPr>
          <w:rFonts w:hint="cs"/>
          <w:rtl/>
        </w:rPr>
        <w:t xml:space="preserve">לפי </w:t>
      </w:r>
      <w:r w:rsidR="00D92F53">
        <w:rPr>
          <w:rFonts w:hint="cs"/>
          <w:rtl/>
        </w:rPr>
        <w:t>סעיף 134א לחוק הבחירות לכנסת [נוסח משולב], התשכ"ט</w:t>
      </w:r>
      <w:r w:rsidR="00575493">
        <w:rPr>
          <w:rFonts w:hint="cs"/>
          <w:rtl/>
        </w:rPr>
        <w:t>–</w:t>
      </w:r>
      <w:r w:rsidR="00D92F53">
        <w:rPr>
          <w:rFonts w:hint="cs"/>
          <w:rtl/>
        </w:rPr>
        <w:t xml:space="preserve">1969, מממנת ועדת הבחירות המרכזית לכנסת </w:t>
      </w:r>
      <w:r w:rsidR="00575493">
        <w:rPr>
          <w:rFonts w:hint="cs"/>
          <w:rtl/>
        </w:rPr>
        <w:t>הסעות</w:t>
      </w:r>
      <w:r w:rsidR="00D92F53">
        <w:rPr>
          <w:rFonts w:hint="cs"/>
          <w:rtl/>
        </w:rPr>
        <w:t xml:space="preserve"> בתחבורה ציבורית, בין עירונית, ביום הבחירות ובסמוך לו, לבוחרים אשר לא נמצאים ביום הבחירות בישוב בו הם רשומים להצביע, והכ</w:t>
      </w:r>
      <w:r>
        <w:rPr>
          <w:rFonts w:hint="cs"/>
          <w:rtl/>
        </w:rPr>
        <w:t>ו</w:t>
      </w:r>
      <w:r w:rsidR="00D92F53">
        <w:rPr>
          <w:rFonts w:hint="cs"/>
          <w:rtl/>
        </w:rPr>
        <w:t>ל במטרה לסייע לבוחרים להגיע לקלפיות ביום הבחירות.</w:t>
      </w:r>
    </w:p>
    <w:p w14:paraId="4C4BE7C8" w14:textId="611775FF" w:rsidR="00D92F53" w:rsidRDefault="00D92F53" w:rsidP="00A83BE7">
      <w:pPr>
        <w:pStyle w:val="Hesber1st"/>
        <w:tabs>
          <w:tab w:val="clear" w:pos="680"/>
        </w:tabs>
        <w:ind w:firstLine="283"/>
        <w:rPr>
          <w:rtl/>
        </w:rPr>
      </w:pPr>
      <w:r>
        <w:rPr>
          <w:rFonts w:hint="cs"/>
          <w:rtl/>
        </w:rPr>
        <w:t>מ</w:t>
      </w:r>
      <w:r w:rsidR="00575493">
        <w:rPr>
          <w:rFonts w:hint="cs"/>
          <w:rtl/>
        </w:rPr>
        <w:t>אחר וי</w:t>
      </w:r>
      <w:r>
        <w:rPr>
          <w:rFonts w:hint="cs"/>
          <w:rtl/>
        </w:rPr>
        <w:t xml:space="preserve">ום הבחירות הוא יום שבתון, יום חגה של הדמוקרטיה, מוצע לקבוע כי </w:t>
      </w:r>
      <w:r w:rsidR="001306F6">
        <w:rPr>
          <w:rFonts w:hint="cs"/>
          <w:rtl/>
        </w:rPr>
        <w:t xml:space="preserve">תהיה </w:t>
      </w:r>
      <w:r>
        <w:rPr>
          <w:rFonts w:hint="cs"/>
          <w:rtl/>
        </w:rPr>
        <w:t xml:space="preserve">הסעה </w:t>
      </w:r>
      <w:r w:rsidR="001306F6">
        <w:rPr>
          <w:rFonts w:hint="cs"/>
          <w:rtl/>
        </w:rPr>
        <w:t xml:space="preserve">בחינם </w:t>
      </w:r>
      <w:r>
        <w:rPr>
          <w:rFonts w:hint="cs"/>
          <w:rtl/>
        </w:rPr>
        <w:t xml:space="preserve">בתחבורה ציבורית, גם בתוך הערים, ולא רק </w:t>
      </w:r>
      <w:r w:rsidR="00A613E7">
        <w:rPr>
          <w:rFonts w:hint="cs"/>
          <w:rtl/>
        </w:rPr>
        <w:t xml:space="preserve">בדרך </w:t>
      </w:r>
      <w:r w:rsidR="001306F6">
        <w:rPr>
          <w:rFonts w:hint="cs"/>
          <w:rtl/>
        </w:rPr>
        <w:t>בין-עירונית</w:t>
      </w:r>
      <w:r w:rsidR="007570A3">
        <w:rPr>
          <w:rFonts w:hint="cs"/>
          <w:rtl/>
        </w:rPr>
        <w:t xml:space="preserve">. ההסעה בחינם </w:t>
      </w:r>
      <w:r>
        <w:rPr>
          <w:rFonts w:hint="cs"/>
          <w:rtl/>
        </w:rPr>
        <w:t>לצורך הגעה לקלפיות</w:t>
      </w:r>
      <w:r w:rsidR="008A2046">
        <w:rPr>
          <w:rFonts w:hint="cs"/>
          <w:rtl/>
        </w:rPr>
        <w:t xml:space="preserve"> </w:t>
      </w:r>
      <w:r w:rsidR="008A2046">
        <w:rPr>
          <w:rFonts w:hint="cs"/>
          <w:rtl/>
        </w:rPr>
        <w:lastRenderedPageBreak/>
        <w:t>והשתתפות בהצבעה בבחירות לכנסת</w:t>
      </w:r>
      <w:r w:rsidR="007570A3">
        <w:rPr>
          <w:rFonts w:hint="cs"/>
          <w:rtl/>
        </w:rPr>
        <w:t xml:space="preserve"> נועדה</w:t>
      </w:r>
      <w:r>
        <w:rPr>
          <w:rFonts w:hint="cs"/>
          <w:rtl/>
        </w:rPr>
        <w:t xml:space="preserve"> </w:t>
      </w:r>
      <w:r w:rsidR="007570A3">
        <w:rPr>
          <w:rFonts w:hint="cs"/>
          <w:rtl/>
        </w:rPr>
        <w:t>לסמל כי יום הבחירות הוא יום חג ייחודי</w:t>
      </w:r>
      <w:r>
        <w:rPr>
          <w:rFonts w:hint="cs"/>
          <w:rtl/>
        </w:rPr>
        <w:t xml:space="preserve">, </w:t>
      </w:r>
      <w:r w:rsidR="007570A3">
        <w:rPr>
          <w:rFonts w:hint="cs"/>
          <w:rtl/>
        </w:rPr>
        <w:t xml:space="preserve">על ידי </w:t>
      </w:r>
      <w:r>
        <w:rPr>
          <w:rFonts w:hint="cs"/>
          <w:rtl/>
        </w:rPr>
        <w:t>הקל</w:t>
      </w:r>
      <w:r w:rsidR="007570A3">
        <w:rPr>
          <w:rFonts w:hint="cs"/>
          <w:rtl/>
        </w:rPr>
        <w:t>ה</w:t>
      </w:r>
      <w:r>
        <w:rPr>
          <w:rFonts w:hint="cs"/>
          <w:rtl/>
        </w:rPr>
        <w:t xml:space="preserve"> על הבוחרים </w:t>
      </w:r>
      <w:r w:rsidR="00A613E7">
        <w:rPr>
          <w:rFonts w:hint="cs"/>
          <w:rtl/>
        </w:rPr>
        <w:t>להגיע</w:t>
      </w:r>
      <w:r>
        <w:rPr>
          <w:rFonts w:hint="cs"/>
          <w:rtl/>
        </w:rPr>
        <w:t xml:space="preserve"> לקלפי ביום </w:t>
      </w:r>
      <w:r w:rsidR="00575493">
        <w:rPr>
          <w:rFonts w:hint="cs"/>
          <w:rtl/>
        </w:rPr>
        <w:t xml:space="preserve">שבתון </w:t>
      </w:r>
      <w:r>
        <w:rPr>
          <w:rFonts w:hint="cs"/>
          <w:rtl/>
        </w:rPr>
        <w:t xml:space="preserve">זה. </w:t>
      </w:r>
    </w:p>
    <w:p w14:paraId="21AC83E7" w14:textId="020D1BA7" w:rsidR="00D92F53" w:rsidRDefault="00D92F53" w:rsidP="00A83BE7">
      <w:pPr>
        <w:pStyle w:val="Hesber1st"/>
        <w:tabs>
          <w:tab w:val="clear" w:pos="680"/>
        </w:tabs>
        <w:ind w:firstLine="283"/>
        <w:rPr>
          <w:rtl/>
        </w:rPr>
      </w:pPr>
      <w:r>
        <w:rPr>
          <w:rFonts w:hint="cs"/>
          <w:rtl/>
        </w:rPr>
        <w:t xml:space="preserve">מוצע כי העלות </w:t>
      </w:r>
      <w:r w:rsidR="001306F6">
        <w:rPr>
          <w:rFonts w:hint="cs"/>
          <w:rtl/>
        </w:rPr>
        <w:t>ש</w:t>
      </w:r>
      <w:r w:rsidR="00A613E7">
        <w:rPr>
          <w:rFonts w:hint="cs"/>
          <w:rtl/>
        </w:rPr>
        <w:t>ל</w:t>
      </w:r>
      <w:r w:rsidR="001306F6">
        <w:rPr>
          <w:rFonts w:hint="cs"/>
          <w:rtl/>
        </w:rPr>
        <w:t xml:space="preserve"> </w:t>
      </w:r>
      <w:r w:rsidR="00A613E7">
        <w:rPr>
          <w:rFonts w:hint="cs"/>
          <w:rtl/>
        </w:rPr>
        <w:t xml:space="preserve">שירות זה </w:t>
      </w:r>
      <w:r>
        <w:rPr>
          <w:rFonts w:hint="cs"/>
          <w:rtl/>
        </w:rPr>
        <w:t xml:space="preserve">תתחלק </w:t>
      </w:r>
      <w:r w:rsidR="001306F6">
        <w:rPr>
          <w:rFonts w:hint="cs"/>
          <w:rtl/>
        </w:rPr>
        <w:t xml:space="preserve">באופן שווה </w:t>
      </w:r>
      <w:r>
        <w:rPr>
          <w:rFonts w:hint="cs"/>
          <w:rtl/>
        </w:rPr>
        <w:t>בין ועדת הבחירות המרכזית לכנסת ומשרד התחבורה והבטיחות בדרכים, וכי לוועדת הבחירות תישאר הסמכות להתיר הסעה בין-עירונית</w:t>
      </w:r>
      <w:r w:rsidR="007570A3">
        <w:rPr>
          <w:rFonts w:hint="cs"/>
          <w:rtl/>
        </w:rPr>
        <w:t xml:space="preserve"> לצורך הקלה על הבוחרים</w:t>
      </w:r>
      <w:r>
        <w:rPr>
          <w:rFonts w:hint="cs"/>
          <w:rtl/>
        </w:rPr>
        <w:t xml:space="preserve"> סמוך ליום הבחירות, אם היא מוצאת לנכון </w:t>
      </w:r>
      <w:r w:rsidR="007570A3">
        <w:rPr>
          <w:rFonts w:hint="cs"/>
          <w:rtl/>
        </w:rPr>
        <w:t>לעשות כן</w:t>
      </w:r>
      <w:r w:rsidR="008A2046">
        <w:rPr>
          <w:rFonts w:hint="cs"/>
          <w:rtl/>
        </w:rPr>
        <w:t xml:space="preserve">. </w:t>
      </w:r>
      <w:r w:rsidR="00A83BE7">
        <w:rPr>
          <w:rFonts w:hint="cs"/>
          <w:rtl/>
        </w:rPr>
        <w:t>כמו כן</w:t>
      </w:r>
      <w:bookmarkStart w:id="5" w:name="_GoBack"/>
      <w:bookmarkEnd w:id="5"/>
      <w:r w:rsidR="008A2046">
        <w:rPr>
          <w:rFonts w:hint="cs"/>
          <w:rtl/>
        </w:rPr>
        <w:t xml:space="preserve"> ת</w:t>
      </w:r>
      <w:r w:rsidR="00A613E7">
        <w:rPr>
          <w:rFonts w:hint="cs"/>
          <w:rtl/>
        </w:rPr>
        <w:t>י</w:t>
      </w:r>
      <w:r w:rsidR="008A2046">
        <w:rPr>
          <w:rFonts w:hint="cs"/>
          <w:rtl/>
        </w:rPr>
        <w:t>שאר ל</w:t>
      </w:r>
      <w:r w:rsidR="00A613E7">
        <w:rPr>
          <w:rFonts w:hint="cs"/>
          <w:rtl/>
        </w:rPr>
        <w:t>וועד</w:t>
      </w:r>
      <w:r w:rsidR="008A2046">
        <w:rPr>
          <w:rFonts w:hint="cs"/>
          <w:rtl/>
        </w:rPr>
        <w:t xml:space="preserve">ה הסמכות לקבוע את המנגנון שיאפשר </w:t>
      </w:r>
      <w:r w:rsidR="007570A3">
        <w:rPr>
          <w:rFonts w:hint="cs"/>
          <w:rtl/>
        </w:rPr>
        <w:t>את ההסעה ויוודא כי ה</w:t>
      </w:r>
      <w:r w:rsidR="008A2046">
        <w:rPr>
          <w:rFonts w:hint="cs"/>
          <w:rtl/>
        </w:rPr>
        <w:t xml:space="preserve">נסיעה ללא תשלום </w:t>
      </w:r>
      <w:r w:rsidR="007570A3">
        <w:rPr>
          <w:rFonts w:hint="cs"/>
          <w:rtl/>
        </w:rPr>
        <w:t xml:space="preserve">היא </w:t>
      </w:r>
      <w:r w:rsidR="008A2046">
        <w:rPr>
          <w:rFonts w:hint="cs"/>
          <w:rtl/>
        </w:rPr>
        <w:t>לשם הצבעה.</w:t>
      </w:r>
    </w:p>
    <w:p w14:paraId="7F6961CB" w14:textId="4A723614" w:rsidR="00E13C27" w:rsidRDefault="00D92F53" w:rsidP="001306F6">
      <w:pPr>
        <w:pStyle w:val="Hesber"/>
        <w:rPr>
          <w:rtl/>
        </w:rPr>
      </w:pPr>
      <w:r>
        <w:rPr>
          <w:rFonts w:hint="cs"/>
          <w:rtl/>
        </w:rPr>
        <w:t>יצוין כי נוכח העובדה שחלק ניכר מהתחבורה הציבורית נגיש לאנשים עם מוגבלות, בהתאם ל</w:t>
      </w:r>
      <w:r w:rsidRPr="00265DFF">
        <w:rPr>
          <w:rtl/>
        </w:rPr>
        <w:t xml:space="preserve">תקנות שוויון זכויות לאנשים עם מוגבלות (הסדרת נגישות לשירותי תחבורה ציבורית), </w:t>
      </w:r>
      <w:r w:rsidR="00575493">
        <w:rPr>
          <w:rFonts w:hint="cs"/>
          <w:rtl/>
        </w:rPr>
        <w:t>ה</w:t>
      </w:r>
      <w:r w:rsidRPr="00265DFF">
        <w:rPr>
          <w:rtl/>
        </w:rPr>
        <w:t>תשס"ג</w:t>
      </w:r>
      <w:r w:rsidR="00575493">
        <w:rPr>
          <w:rFonts w:hint="cs"/>
          <w:rtl/>
        </w:rPr>
        <w:t>–</w:t>
      </w:r>
      <w:r w:rsidRPr="00265DFF">
        <w:rPr>
          <w:rtl/>
        </w:rPr>
        <w:t>2003</w:t>
      </w:r>
      <w:r>
        <w:rPr>
          <w:rFonts w:hint="cs"/>
          <w:rtl/>
        </w:rPr>
        <w:t>, הצפי הוא ש</w:t>
      </w:r>
      <w:r w:rsidR="001306F6">
        <w:rPr>
          <w:rFonts w:hint="cs"/>
          <w:rtl/>
        </w:rPr>
        <w:t>ה</w:t>
      </w:r>
      <w:r>
        <w:rPr>
          <w:rFonts w:hint="cs"/>
          <w:rtl/>
        </w:rPr>
        <w:t xml:space="preserve">תיקון </w:t>
      </w:r>
      <w:r w:rsidR="001306F6">
        <w:rPr>
          <w:rFonts w:hint="cs"/>
          <w:rtl/>
        </w:rPr>
        <w:t>ה</w:t>
      </w:r>
      <w:r>
        <w:rPr>
          <w:rFonts w:hint="cs"/>
          <w:rtl/>
        </w:rPr>
        <w:t>מוצע יסייע ב</w:t>
      </w:r>
      <w:r w:rsidR="001306F6">
        <w:rPr>
          <w:rFonts w:hint="cs"/>
          <w:rtl/>
        </w:rPr>
        <w:t>מ</w:t>
      </w:r>
      <w:r>
        <w:rPr>
          <w:rFonts w:hint="cs"/>
          <w:rtl/>
        </w:rPr>
        <w:t>י</w:t>
      </w:r>
      <w:r w:rsidR="001306F6">
        <w:rPr>
          <w:rFonts w:hint="cs"/>
          <w:rtl/>
        </w:rPr>
        <w:t xml:space="preserve">וחד </w:t>
      </w:r>
      <w:r>
        <w:rPr>
          <w:rFonts w:hint="cs"/>
          <w:rtl/>
        </w:rPr>
        <w:t>לבוחרים המוגבלים בניידות להגיע לקלפיו</w:t>
      </w:r>
      <w:r w:rsidR="00575493">
        <w:rPr>
          <w:rFonts w:hint="cs"/>
          <w:rtl/>
        </w:rPr>
        <w:t>ת הנגישות ולממש את זכותם להצביע.</w:t>
      </w:r>
    </w:p>
    <w:p w14:paraId="6A604C55" w14:textId="206FA8CC" w:rsidR="00FA1BF8" w:rsidRDefault="00FA1BF8" w:rsidP="001306F6">
      <w:pPr>
        <w:pStyle w:val="Hesber"/>
        <w:rPr>
          <w:rtl/>
        </w:rPr>
      </w:pPr>
    </w:p>
    <w:p w14:paraId="43229309" w14:textId="77777777" w:rsidR="00FA1BF8" w:rsidRDefault="00FA1BF8" w:rsidP="001306F6">
      <w:pPr>
        <w:pStyle w:val="Hesber"/>
        <w:rPr>
          <w:rtl/>
        </w:rPr>
      </w:pPr>
    </w:p>
    <w:p w14:paraId="27AE81AF" w14:textId="77777777" w:rsidR="00FA1BF8" w:rsidRPr="00D73212" w:rsidRDefault="00FA1BF8" w:rsidP="00FA1BF8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6CB1E672" w14:textId="77777777" w:rsidR="00FA1BF8" w:rsidRPr="00D73212" w:rsidRDefault="00FA1BF8" w:rsidP="00FA1BF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FE29560" w14:textId="77777777" w:rsidR="00FA1BF8" w:rsidRPr="00D73212" w:rsidRDefault="00FA1BF8" w:rsidP="00FA1BF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32898EB8" w14:textId="77777777" w:rsidR="00FA1BF8" w:rsidRPr="00317312" w:rsidRDefault="00FA1BF8" w:rsidP="00FA1BF8">
      <w:pPr>
        <w:pStyle w:val="Hesber"/>
      </w:pPr>
      <w:r>
        <w:rPr>
          <w:rFonts w:hint="cs"/>
          <w:color w:val="auto"/>
          <w:rtl/>
          <w:lang w:eastAsia="en-US"/>
        </w:rPr>
        <w:t>כ"ה באדר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12.3.18</w:t>
      </w:r>
    </w:p>
    <w:p w14:paraId="071A27C1" w14:textId="77777777" w:rsidR="00FA1BF8" w:rsidRDefault="00FA1BF8" w:rsidP="001306F6">
      <w:pPr>
        <w:pStyle w:val="Hesber"/>
        <w:rPr>
          <w:rtl/>
        </w:rPr>
      </w:pPr>
    </w:p>
    <w:p w14:paraId="512356AC" w14:textId="77777777" w:rsidR="00FA1BF8" w:rsidRDefault="00FA1BF8" w:rsidP="001306F6">
      <w:pPr>
        <w:pStyle w:val="Hesber"/>
        <w:rPr>
          <w:rtl/>
        </w:rPr>
      </w:pPr>
    </w:p>
    <w:sectPr w:rsidR="00FA1BF8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A83BE7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7E946D27" w14:textId="39625602" w:rsidR="00575493" w:rsidRDefault="00575493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התשכ"ט, עמ' 103.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7709"/>
    <w:multiLevelType w:val="hybridMultilevel"/>
    <w:tmpl w:val="CB286FCA"/>
    <w:lvl w:ilvl="0" w:tplc="D2E8CE5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306F6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75493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570A3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756B2"/>
    <w:rsid w:val="00892135"/>
    <w:rsid w:val="00895449"/>
    <w:rsid w:val="00897879"/>
    <w:rsid w:val="008A2046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13E7"/>
    <w:rsid w:val="00A6611D"/>
    <w:rsid w:val="00A82CB7"/>
    <w:rsid w:val="00A83BE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92F53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1BF8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A4413-CCE5-4027-8845-91D6AC179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A79AF1-8BDE-4346-9CA4-5F62304C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334</Words>
  <Characters>1673</Characters>
  <Application>Microsoft Office Word</Application>
  <DocSecurity>0</DocSecurity>
  <Lines>13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חנה קרליץ</cp:lastModifiedBy>
  <cp:revision>11</cp:revision>
  <cp:lastPrinted>2018-03-08T12:54:00Z</cp:lastPrinted>
  <dcterms:created xsi:type="dcterms:W3CDTF">2015-04-20T09:58:00Z</dcterms:created>
  <dcterms:modified xsi:type="dcterms:W3CDTF">2018-03-08T12:54:00Z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2065165</vt:r8>
  </property>
</Properties>
</file>