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2064342</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מירב בן ארי</w:t>
      </w:r>
      <w:r>
        <w:br/>
      </w:r>
      <w:r>
        <w:rPr>
          <w:rFonts w:hint="cs"/>
          <w:b/>
          <w:bCs/>
          <w:rtl/>
        </w:rPr>
        <w:t xml:space="preserve"> </w:t>
      </w:r>
      <w:r>
        <w:tab/>
      </w:r>
      <w:r>
        <w:tab/>
      </w:r>
      <w:r>
        <w:tab/>
      </w:r>
      <w:r>
        <w:tab/>
      </w:r>
      <w:r>
        <w:rPr>
          <w:rFonts w:hint="cs"/>
          <w:b/>
          <w:bCs/>
          <w:rtl/>
        </w:rPr>
        <w:t>איציק שמולי</w:t>
      </w:r>
      <w:bookmarkEnd w:id="3"/>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15A9CC65" w:rsidR="00E13C27" w:rsidRDefault="00904591" w:rsidP="00F65763">
      <w:pPr>
        <w:pStyle w:val="David"/>
        <w:spacing w:before="0" w:line="240" w:lineRule="auto"/>
        <w:ind w:left="3544"/>
        <w:rPr>
          <w:rtl/>
        </w:rPr>
      </w:pPr>
      <w:r>
        <w:t xml:space="preserve">                                            </w:t>
      </w:r>
      <w:r w:rsidR="008F1308">
        <w:t xml:space="preserve"> </w:t>
      </w:r>
      <w:bookmarkStart w:id="4" w:name="Private_Number"/>
      <w:r>
        <w:rPr>
          <w:rFonts w:hint="cs"/>
          <w:rtl/>
        </w:rPr>
        <w:t>פ/5164/20</w:t>
      </w:r>
      <w:bookmarkEnd w:id="4"/>
    </w:p>
    <w:p w14:paraId="7F6961AD" w14:textId="77777777" w:rsidR="00E13C27" w:rsidRPr="00F67051" w:rsidRDefault="00A443CF" w:rsidP="0021633A">
      <w:pPr>
        <w:pStyle w:val="HeadHatzaotHok"/>
        <w:rPr>
          <w:rtl/>
        </w:rPr>
      </w:pPr>
      <w:bookmarkStart w:id="5" w:name="LGS_Subject"/>
      <w:r>
        <w:rPr>
          <w:rFonts w:hint="cs"/>
          <w:rtl/>
        </w:rPr>
        <w:t>הצעת חוק העונשין (תיקון – החמרת הענישה בשל תקיפת צוות רפואי), התשע"ח–2018</w:t>
      </w:r>
      <w:bookmarkEnd w:id="5"/>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F1D80" w14:paraId="035EEF3D" w14:textId="77777777" w:rsidTr="00F65763">
        <w:trPr>
          <w:cantSplit/>
          <w:trHeight w:val="60"/>
        </w:trPr>
        <w:tc>
          <w:tcPr>
            <w:tcW w:w="1871" w:type="dxa"/>
          </w:tcPr>
          <w:p w14:paraId="3863FF98" w14:textId="32E8E3A8" w:rsidR="002F1D80" w:rsidRDefault="00772A68" w:rsidP="002C3041">
            <w:pPr>
              <w:pStyle w:val="TableSideHeading"/>
              <w:keepLines w:val="0"/>
            </w:pPr>
            <w:r>
              <w:rPr>
                <w:sz w:val="26"/>
                <w:rtl/>
              </w:rPr>
              <w:t>תיקון סעיף 38</w:t>
            </w:r>
            <w:r>
              <w:rPr>
                <w:rFonts w:hint="cs"/>
                <w:sz w:val="26"/>
                <w:rtl/>
              </w:rPr>
              <w:t>2</w:t>
            </w:r>
            <w:r w:rsidR="00083B00">
              <w:rPr>
                <w:rFonts w:hint="cs"/>
                <w:rtl/>
              </w:rPr>
              <w:t>א</w:t>
            </w:r>
          </w:p>
        </w:tc>
        <w:tc>
          <w:tcPr>
            <w:tcW w:w="624" w:type="dxa"/>
          </w:tcPr>
          <w:p w14:paraId="6F513EF6" w14:textId="3D553CB1" w:rsidR="002F1D80" w:rsidRDefault="00772A68" w:rsidP="002C3041">
            <w:pPr>
              <w:pStyle w:val="TableText"/>
              <w:keepLines w:val="0"/>
            </w:pPr>
            <w:r>
              <w:rPr>
                <w:rFonts w:hint="cs"/>
                <w:rtl/>
              </w:rPr>
              <w:t>1.</w:t>
            </w:r>
          </w:p>
        </w:tc>
        <w:tc>
          <w:tcPr>
            <w:tcW w:w="7146" w:type="dxa"/>
          </w:tcPr>
          <w:p w14:paraId="1AE94DEB" w14:textId="3CA02AB7" w:rsidR="002F1D80" w:rsidRPr="00F65763" w:rsidRDefault="00772A68" w:rsidP="00436E41">
            <w:pPr>
              <w:pStyle w:val="TableHead"/>
              <w:jc w:val="both"/>
              <w:rPr>
                <w:b w:val="0"/>
                <w:bCs w:val="0"/>
              </w:rPr>
            </w:pPr>
            <w:r w:rsidRPr="00F65763">
              <w:rPr>
                <w:b w:val="0"/>
                <w:bCs w:val="0"/>
                <w:rtl/>
              </w:rPr>
              <w:t>בחוק העונשין, התשל"ז–1</w:t>
            </w:r>
            <w:r w:rsidR="00F65763">
              <w:rPr>
                <w:b w:val="0"/>
                <w:bCs w:val="0"/>
                <w:rtl/>
              </w:rPr>
              <w:t>977</w:t>
            </w:r>
            <w:r w:rsidR="00F65763">
              <w:rPr>
                <w:rStyle w:val="a5"/>
                <w:b w:val="0"/>
                <w:bCs w:val="0"/>
                <w:rtl/>
              </w:rPr>
              <w:footnoteReference w:id="2"/>
            </w:r>
            <w:r w:rsidR="00F65763">
              <w:rPr>
                <w:rFonts w:hint="cs"/>
                <w:b w:val="0"/>
                <w:bCs w:val="0"/>
                <w:rtl/>
              </w:rPr>
              <w:t>,</w:t>
            </w:r>
            <w:r w:rsidRPr="00F65763">
              <w:rPr>
                <w:b w:val="0"/>
                <w:bCs w:val="0"/>
                <w:rtl/>
              </w:rPr>
              <w:t xml:space="preserve"> בסע</w:t>
            </w:r>
            <w:r w:rsidR="00F65763">
              <w:rPr>
                <w:b w:val="0"/>
                <w:bCs w:val="0"/>
                <w:rtl/>
              </w:rPr>
              <w:t>יף 382</w:t>
            </w:r>
            <w:r w:rsidR="000476C5">
              <w:rPr>
                <w:rFonts w:hint="cs"/>
                <w:b w:val="0"/>
                <w:bCs w:val="0"/>
                <w:rtl/>
              </w:rPr>
              <w:t>א</w:t>
            </w:r>
            <w:r w:rsidR="00F65763">
              <w:rPr>
                <w:b w:val="0"/>
                <w:bCs w:val="0"/>
                <w:rtl/>
              </w:rPr>
              <w:t xml:space="preserve">, </w:t>
            </w:r>
            <w:r w:rsidR="00436E41">
              <w:rPr>
                <w:rFonts w:hint="cs"/>
                <w:b w:val="0"/>
                <w:bCs w:val="0"/>
                <w:rtl/>
              </w:rPr>
              <w:t xml:space="preserve">במקום סעיף </w:t>
            </w:r>
            <w:r w:rsidR="00083B00">
              <w:rPr>
                <w:rFonts w:hint="cs"/>
                <w:b w:val="0"/>
                <w:bCs w:val="0"/>
                <w:rtl/>
              </w:rPr>
              <w:t xml:space="preserve">קטן </w:t>
            </w:r>
            <w:r w:rsidR="00436E41">
              <w:rPr>
                <w:rFonts w:hint="cs"/>
                <w:b w:val="0"/>
                <w:bCs w:val="0"/>
                <w:rtl/>
              </w:rPr>
              <w:t>(ג) יבוא:</w:t>
            </w:r>
          </w:p>
        </w:tc>
      </w:tr>
      <w:tr w:rsidR="00F65763" w14:paraId="4BE13AA5" w14:textId="77777777" w:rsidTr="00F65763">
        <w:trPr>
          <w:cantSplit/>
          <w:trHeight w:val="60"/>
        </w:trPr>
        <w:tc>
          <w:tcPr>
            <w:tcW w:w="1871" w:type="dxa"/>
          </w:tcPr>
          <w:p w14:paraId="4493B09E" w14:textId="77777777" w:rsidR="00F65763" w:rsidRDefault="00F65763" w:rsidP="002C3041">
            <w:pPr>
              <w:pStyle w:val="TableSideHeading"/>
              <w:keepLines w:val="0"/>
              <w:rPr>
                <w:sz w:val="26"/>
                <w:rtl/>
              </w:rPr>
            </w:pPr>
          </w:p>
        </w:tc>
        <w:tc>
          <w:tcPr>
            <w:tcW w:w="624" w:type="dxa"/>
          </w:tcPr>
          <w:p w14:paraId="70EB7CDB" w14:textId="77777777" w:rsidR="00F65763" w:rsidRDefault="00F65763" w:rsidP="002C3041">
            <w:pPr>
              <w:pStyle w:val="TableText"/>
              <w:keepLines w:val="0"/>
              <w:rPr>
                <w:rtl/>
              </w:rPr>
            </w:pPr>
          </w:p>
        </w:tc>
        <w:tc>
          <w:tcPr>
            <w:tcW w:w="7146" w:type="dxa"/>
          </w:tcPr>
          <w:p w14:paraId="1521C723" w14:textId="25812EDA" w:rsidR="00F65763" w:rsidRPr="00F65763" w:rsidRDefault="00F65763" w:rsidP="00282F93">
            <w:pPr>
              <w:pStyle w:val="TableHead"/>
              <w:jc w:val="both"/>
              <w:rPr>
                <w:b w:val="0"/>
                <w:bCs w:val="0"/>
                <w:rtl/>
              </w:rPr>
            </w:pPr>
            <w:r w:rsidRPr="00F65763">
              <w:rPr>
                <w:b w:val="0"/>
                <w:bCs w:val="0"/>
                <w:rtl/>
              </w:rPr>
              <w:t>"(</w:t>
            </w:r>
            <w:r w:rsidR="00436E41">
              <w:rPr>
                <w:rFonts w:hint="cs"/>
                <w:b w:val="0"/>
                <w:bCs w:val="0"/>
                <w:rtl/>
              </w:rPr>
              <w:t>ג</w:t>
            </w:r>
            <w:r w:rsidRPr="00F65763">
              <w:rPr>
                <w:b w:val="0"/>
                <w:bCs w:val="0"/>
                <w:rtl/>
              </w:rPr>
              <w:t>)</w:t>
            </w:r>
            <w:r w:rsidRPr="00F65763">
              <w:rPr>
                <w:b w:val="0"/>
                <w:bCs w:val="0"/>
                <w:rtl/>
              </w:rPr>
              <w:tab/>
              <w:t xml:space="preserve">התוקף </w:t>
            </w:r>
            <w:r w:rsidR="00436E41">
              <w:rPr>
                <w:rFonts w:hint="cs"/>
                <w:b w:val="0"/>
                <w:bCs w:val="0"/>
                <w:rtl/>
              </w:rPr>
              <w:t>איש צוות רפואי</w:t>
            </w:r>
            <w:r w:rsidRPr="00F65763">
              <w:rPr>
                <w:b w:val="0"/>
                <w:bCs w:val="0"/>
                <w:rtl/>
              </w:rPr>
              <w:t xml:space="preserve">, והתקיפה קשורה למילוי חובתו או תפקידו של הנתקף, דינו – מאסר </w:t>
            </w:r>
            <w:r w:rsidR="00436E41">
              <w:rPr>
                <w:rFonts w:hint="cs"/>
                <w:b w:val="0"/>
                <w:bCs w:val="0"/>
                <w:rtl/>
              </w:rPr>
              <w:t>חמש</w:t>
            </w:r>
            <w:r w:rsidR="00241CB5" w:rsidRPr="00F65763">
              <w:rPr>
                <w:b w:val="0"/>
                <w:bCs w:val="0"/>
                <w:rtl/>
              </w:rPr>
              <w:t xml:space="preserve"> </w:t>
            </w:r>
            <w:r w:rsidRPr="00F65763">
              <w:rPr>
                <w:b w:val="0"/>
                <w:bCs w:val="0"/>
                <w:rtl/>
              </w:rPr>
              <w:t>שנים</w:t>
            </w:r>
            <w:r w:rsidR="00436E41">
              <w:rPr>
                <w:rFonts w:hint="cs"/>
                <w:b w:val="0"/>
                <w:bCs w:val="0"/>
                <w:rtl/>
              </w:rPr>
              <w:t xml:space="preserve"> ולא פחות משישה חודשים, אלא אם כן החליט בית המשפט, מטעמים מיוחדים שיירשמו, להקל בעונשו; בסעיף זה </w:t>
            </w:r>
            <w:r w:rsidR="00436E41">
              <w:rPr>
                <w:rFonts w:hint="eastAsia"/>
                <w:b w:val="0"/>
                <w:bCs w:val="0"/>
                <w:rtl/>
              </w:rPr>
              <w:t>–</w:t>
            </w:r>
          </w:p>
        </w:tc>
      </w:tr>
      <w:tr w:rsidR="00436E41" w14:paraId="6DAEAB5E" w14:textId="77777777" w:rsidTr="00F65763">
        <w:trPr>
          <w:cantSplit/>
          <w:trHeight w:val="60"/>
        </w:trPr>
        <w:tc>
          <w:tcPr>
            <w:tcW w:w="1871" w:type="dxa"/>
          </w:tcPr>
          <w:p w14:paraId="1CBF374E" w14:textId="77777777" w:rsidR="00436E41" w:rsidRDefault="00436E41" w:rsidP="002C3041">
            <w:pPr>
              <w:pStyle w:val="TableSideHeading"/>
              <w:keepLines w:val="0"/>
              <w:rPr>
                <w:sz w:val="26"/>
                <w:rtl/>
              </w:rPr>
            </w:pPr>
          </w:p>
        </w:tc>
        <w:tc>
          <w:tcPr>
            <w:tcW w:w="624" w:type="dxa"/>
          </w:tcPr>
          <w:p w14:paraId="6EB959F0" w14:textId="77777777" w:rsidR="00436E41" w:rsidRDefault="00436E41" w:rsidP="002C3041">
            <w:pPr>
              <w:pStyle w:val="TableText"/>
              <w:keepLines w:val="0"/>
              <w:rPr>
                <w:rtl/>
              </w:rPr>
            </w:pPr>
          </w:p>
        </w:tc>
        <w:tc>
          <w:tcPr>
            <w:tcW w:w="7146" w:type="dxa"/>
          </w:tcPr>
          <w:p w14:paraId="57BC4BA4" w14:textId="206A6034" w:rsidR="00436E41" w:rsidRPr="002E0D22" w:rsidRDefault="002E0D22" w:rsidP="002E0D22">
            <w:pPr>
              <w:pStyle w:val="TableBlockOutdent"/>
              <w:rPr>
                <w:rtl/>
              </w:rPr>
            </w:pPr>
            <w:r w:rsidRPr="002E0D22">
              <w:rPr>
                <w:rFonts w:hint="cs"/>
                <w:rtl/>
              </w:rPr>
              <w:t xml:space="preserve">"איש צוות רפואי" </w:t>
            </w:r>
            <w:r>
              <w:rPr>
                <w:rFonts w:hint="eastAsia"/>
                <w:rtl/>
              </w:rPr>
              <w:t>–</w:t>
            </w:r>
            <w:r w:rsidRPr="002E0D22">
              <w:rPr>
                <w:rFonts w:hint="cs"/>
                <w:rtl/>
              </w:rPr>
              <w:t xml:space="preserve"> רופא,</w:t>
            </w:r>
            <w:r>
              <w:rPr>
                <w:rFonts w:hint="cs"/>
                <w:rtl/>
              </w:rPr>
              <w:t xml:space="preserve"> רופא שיניים, </w:t>
            </w:r>
            <w:r w:rsidRPr="002E0D22">
              <w:rPr>
                <w:rFonts w:hint="cs"/>
                <w:rtl/>
              </w:rPr>
              <w:t>סטז'ר, אח, מיילד, חובש, מי שממלא תפקיד במד"א או אדם אחר הממלא תפקיד בחדר מיון</w:t>
            </w:r>
            <w:r>
              <w:rPr>
                <w:rFonts w:hint="cs"/>
                <w:rtl/>
              </w:rPr>
              <w:t>;</w:t>
            </w:r>
          </w:p>
        </w:tc>
      </w:tr>
      <w:tr w:rsidR="002E0D22" w14:paraId="3631C2DE" w14:textId="77777777" w:rsidTr="00F65763">
        <w:trPr>
          <w:cantSplit/>
          <w:trHeight w:val="60"/>
        </w:trPr>
        <w:tc>
          <w:tcPr>
            <w:tcW w:w="1871" w:type="dxa"/>
          </w:tcPr>
          <w:p w14:paraId="4711E3B1" w14:textId="77777777" w:rsidR="002E0D22" w:rsidRDefault="002E0D22" w:rsidP="002C3041">
            <w:pPr>
              <w:pStyle w:val="TableSideHeading"/>
              <w:keepLines w:val="0"/>
              <w:rPr>
                <w:sz w:val="26"/>
                <w:rtl/>
              </w:rPr>
            </w:pPr>
          </w:p>
        </w:tc>
        <w:tc>
          <w:tcPr>
            <w:tcW w:w="624" w:type="dxa"/>
          </w:tcPr>
          <w:p w14:paraId="1458CBAE" w14:textId="77777777" w:rsidR="002E0D22" w:rsidRDefault="002E0D22" w:rsidP="002C3041">
            <w:pPr>
              <w:pStyle w:val="TableText"/>
              <w:keepLines w:val="0"/>
              <w:rPr>
                <w:rtl/>
              </w:rPr>
            </w:pPr>
          </w:p>
        </w:tc>
        <w:tc>
          <w:tcPr>
            <w:tcW w:w="7146" w:type="dxa"/>
          </w:tcPr>
          <w:p w14:paraId="2D8A858A" w14:textId="35F24CFF" w:rsidR="002E0D22" w:rsidRPr="002E0D22" w:rsidRDefault="002E0D22" w:rsidP="002E0D22">
            <w:pPr>
              <w:pStyle w:val="TableBlockOutdent"/>
              <w:rPr>
                <w:rtl/>
              </w:rPr>
            </w:pPr>
            <w:r w:rsidRPr="002E0D22">
              <w:rPr>
                <w:rFonts w:hint="cs"/>
                <w:rtl/>
              </w:rPr>
              <w:t>"רופא",</w:t>
            </w:r>
            <w:r>
              <w:rPr>
                <w:rFonts w:hint="cs"/>
                <w:rtl/>
              </w:rPr>
              <w:t xml:space="preserve"> "רופא שיניים",</w:t>
            </w:r>
            <w:r w:rsidRPr="002E0D22">
              <w:rPr>
                <w:rFonts w:hint="cs"/>
                <w:rtl/>
              </w:rPr>
              <w:t xml:space="preserve"> "סטז'ר", "מיילד" ו"חדר מיון" – כהגדרתם בחוק זכויות החולה, התשנ"ו</w:t>
            </w:r>
            <w:r>
              <w:rPr>
                <w:rFonts w:hint="eastAsia"/>
                <w:rtl/>
              </w:rPr>
              <w:t>–</w:t>
            </w:r>
            <w:r w:rsidRPr="002E0D22">
              <w:rPr>
                <w:rFonts w:hint="cs"/>
                <w:rtl/>
              </w:rPr>
              <w:t>1996</w:t>
            </w:r>
            <w:r>
              <w:rPr>
                <w:rStyle w:val="a5"/>
                <w:rtl/>
              </w:rPr>
              <w:footnoteReference w:id="3"/>
            </w:r>
            <w:r w:rsidRPr="002E0D22">
              <w:rPr>
                <w:rFonts w:hint="cs"/>
                <w:rtl/>
              </w:rPr>
              <w:t>;</w:t>
            </w:r>
          </w:p>
        </w:tc>
      </w:tr>
      <w:tr w:rsidR="002E0D22" w14:paraId="5F3427BB" w14:textId="77777777" w:rsidTr="00F65763">
        <w:trPr>
          <w:cantSplit/>
          <w:trHeight w:val="60"/>
        </w:trPr>
        <w:tc>
          <w:tcPr>
            <w:tcW w:w="1871" w:type="dxa"/>
          </w:tcPr>
          <w:p w14:paraId="32394948" w14:textId="77777777" w:rsidR="002E0D22" w:rsidRDefault="002E0D22" w:rsidP="002C3041">
            <w:pPr>
              <w:pStyle w:val="TableSideHeading"/>
              <w:keepLines w:val="0"/>
              <w:rPr>
                <w:sz w:val="26"/>
                <w:rtl/>
              </w:rPr>
            </w:pPr>
          </w:p>
        </w:tc>
        <w:tc>
          <w:tcPr>
            <w:tcW w:w="624" w:type="dxa"/>
          </w:tcPr>
          <w:p w14:paraId="5ABD1091" w14:textId="77777777" w:rsidR="002E0D22" w:rsidRDefault="002E0D22" w:rsidP="002C3041">
            <w:pPr>
              <w:pStyle w:val="TableText"/>
              <w:keepLines w:val="0"/>
              <w:rPr>
                <w:rtl/>
              </w:rPr>
            </w:pPr>
          </w:p>
        </w:tc>
        <w:tc>
          <w:tcPr>
            <w:tcW w:w="7146" w:type="dxa"/>
          </w:tcPr>
          <w:p w14:paraId="22317A79" w14:textId="548488E0" w:rsidR="002E0D22" w:rsidRPr="002E0D22" w:rsidRDefault="002E0D22" w:rsidP="002E0D22">
            <w:pPr>
              <w:pStyle w:val="TableBlockOutdent"/>
              <w:rPr>
                <w:rtl/>
              </w:rPr>
            </w:pPr>
            <w:r w:rsidRPr="002E0D22">
              <w:rPr>
                <w:rFonts w:hint="cs"/>
                <w:rtl/>
              </w:rPr>
              <w:t>"מד"א" – אגודת מגן דוד אדום בישראל, שהוקמה בחוק מגן דוד אדום, התש"י</w:t>
            </w:r>
            <w:r>
              <w:rPr>
                <w:rFonts w:hint="eastAsia"/>
                <w:rtl/>
              </w:rPr>
              <w:t>–</w:t>
            </w:r>
            <w:r w:rsidRPr="002E0D22">
              <w:rPr>
                <w:rFonts w:hint="cs"/>
                <w:rtl/>
              </w:rPr>
              <w:t>1950</w:t>
            </w:r>
            <w:r w:rsidR="00282F93">
              <w:rPr>
                <w:rStyle w:val="a5"/>
                <w:rtl/>
              </w:rPr>
              <w:footnoteReference w:id="4"/>
            </w:r>
            <w:r w:rsidRPr="002E0D22">
              <w:rPr>
                <w:rFonts w:hint="cs"/>
                <w:rtl/>
              </w:rPr>
              <w:t>."</w:t>
            </w:r>
            <w:r w:rsidRPr="002E0D22">
              <w:rPr>
                <w:rtl/>
              </w:rPr>
              <w:t xml:space="preserve"> </w:t>
            </w:r>
          </w:p>
        </w:tc>
      </w:tr>
    </w:tbl>
    <w:p w14:paraId="7F6961CA" w14:textId="62DF8181" w:rsidR="002D1EE3" w:rsidRDefault="002D1EE3" w:rsidP="002D1EE3">
      <w:pPr>
        <w:pStyle w:val="HeadDivreiHesber"/>
        <w:rPr>
          <w:rtl/>
        </w:rPr>
      </w:pPr>
      <w:r w:rsidRPr="0027450A">
        <w:rPr>
          <w:rFonts w:hint="cs"/>
          <w:rtl/>
        </w:rPr>
        <w:t>דברי הסבר</w:t>
      </w:r>
    </w:p>
    <w:p w14:paraId="4E1BF04C" w14:textId="79AE73F6" w:rsidR="00772A68" w:rsidRDefault="00772A68" w:rsidP="00083B00">
      <w:pPr>
        <w:pStyle w:val="Hesber"/>
        <w:rPr>
          <w:rtl/>
        </w:rPr>
      </w:pPr>
      <w:r>
        <w:rPr>
          <w:rFonts w:hint="cs"/>
          <w:rtl/>
        </w:rPr>
        <w:t>בשנים האחרונות</w:t>
      </w:r>
      <w:r>
        <w:rPr>
          <w:rtl/>
        </w:rPr>
        <w:t xml:space="preserve"> הולכת וגוברת</w:t>
      </w:r>
      <w:r w:rsidR="00282F93">
        <w:rPr>
          <w:rFonts w:hint="cs"/>
          <w:rtl/>
        </w:rPr>
        <w:t xml:space="preserve"> תופעת</w:t>
      </w:r>
      <w:r>
        <w:rPr>
          <w:rtl/>
        </w:rPr>
        <w:t xml:space="preserve"> גילו</w:t>
      </w:r>
      <w:r w:rsidR="00282F93">
        <w:rPr>
          <w:rFonts w:hint="cs"/>
          <w:rtl/>
        </w:rPr>
        <w:t>י</w:t>
      </w:r>
      <w:r>
        <w:rPr>
          <w:rtl/>
        </w:rPr>
        <w:t xml:space="preserve">י אלימות מצד מטופלים ובני משפחותיהם כלפי </w:t>
      </w:r>
      <w:r>
        <w:rPr>
          <w:rFonts w:hint="cs"/>
          <w:rtl/>
        </w:rPr>
        <w:t xml:space="preserve">רופאים ואנשי </w:t>
      </w:r>
      <w:r>
        <w:rPr>
          <w:rtl/>
        </w:rPr>
        <w:t xml:space="preserve">סגל </w:t>
      </w:r>
      <w:r w:rsidR="00083B00">
        <w:rPr>
          <w:rFonts w:hint="cs"/>
          <w:rtl/>
        </w:rPr>
        <w:t>ב</w:t>
      </w:r>
      <w:r>
        <w:rPr>
          <w:rtl/>
        </w:rPr>
        <w:t>בתי החולים ו</w:t>
      </w:r>
      <w:r w:rsidR="00083B00">
        <w:rPr>
          <w:rFonts w:hint="cs"/>
          <w:rtl/>
        </w:rPr>
        <w:t>ב</w:t>
      </w:r>
      <w:r>
        <w:rPr>
          <w:rtl/>
        </w:rPr>
        <w:t xml:space="preserve">מרפאות </w:t>
      </w:r>
      <w:r>
        <w:rPr>
          <w:rFonts w:hint="cs"/>
          <w:rtl/>
        </w:rPr>
        <w:t>בקהילה</w:t>
      </w:r>
      <w:r w:rsidR="00282F93">
        <w:rPr>
          <w:rFonts w:hint="cs"/>
          <w:rtl/>
        </w:rPr>
        <w:t>,</w:t>
      </w:r>
      <w:r>
        <w:rPr>
          <w:rFonts w:hint="cs"/>
          <w:rtl/>
        </w:rPr>
        <w:t xml:space="preserve"> בעת מילוי תפקידם</w:t>
      </w:r>
      <w:r>
        <w:rPr>
          <w:rtl/>
        </w:rPr>
        <w:t xml:space="preserve">. </w:t>
      </w:r>
      <w:r w:rsidR="00282F93">
        <w:rPr>
          <w:rFonts w:hint="cs"/>
          <w:rtl/>
        </w:rPr>
        <w:t>השכם ו</w:t>
      </w:r>
      <w:r w:rsidR="0021616C">
        <w:rPr>
          <w:rFonts w:hint="cs"/>
          <w:rtl/>
        </w:rPr>
        <w:t>ה</w:t>
      </w:r>
      <w:r w:rsidR="00282F93">
        <w:rPr>
          <w:rFonts w:hint="cs"/>
          <w:rtl/>
        </w:rPr>
        <w:t xml:space="preserve">ערב </w:t>
      </w:r>
      <w:r w:rsidR="0021616C">
        <w:rPr>
          <w:rFonts w:hint="cs"/>
          <w:rtl/>
        </w:rPr>
        <w:t>נתקלים</w:t>
      </w:r>
      <w:r>
        <w:rPr>
          <w:rFonts w:hint="cs"/>
          <w:rtl/>
        </w:rPr>
        <w:t xml:space="preserve"> </w:t>
      </w:r>
      <w:r w:rsidR="0021616C">
        <w:rPr>
          <w:rFonts w:hint="cs"/>
          <w:rtl/>
        </w:rPr>
        <w:t>ב</w:t>
      </w:r>
      <w:r>
        <w:rPr>
          <w:rFonts w:hint="cs"/>
          <w:rtl/>
        </w:rPr>
        <w:t xml:space="preserve">מקרה מזעזע נוסף </w:t>
      </w:r>
      <w:r w:rsidR="0024050E">
        <w:rPr>
          <w:rFonts w:hint="cs"/>
          <w:rtl/>
        </w:rPr>
        <w:t>במסגרתו</w:t>
      </w:r>
      <w:r>
        <w:rPr>
          <w:rFonts w:hint="cs"/>
          <w:rtl/>
        </w:rPr>
        <w:t xml:space="preserve"> </w:t>
      </w:r>
      <w:r w:rsidR="00083B00">
        <w:rPr>
          <w:rFonts w:hint="cs"/>
          <w:rtl/>
        </w:rPr>
        <w:t>חווה</w:t>
      </w:r>
      <w:r w:rsidR="0024050E">
        <w:rPr>
          <w:rFonts w:hint="cs"/>
          <w:rtl/>
        </w:rPr>
        <w:t xml:space="preserve"> </w:t>
      </w:r>
      <w:r>
        <w:rPr>
          <w:rFonts w:hint="cs"/>
          <w:rtl/>
        </w:rPr>
        <w:t>איש צוות רפואי אלימות פיזית ומילולית, לעתים עד כד</w:t>
      </w:r>
      <w:r w:rsidR="00282F93">
        <w:rPr>
          <w:rFonts w:hint="cs"/>
          <w:rtl/>
        </w:rPr>
        <w:t>י סיכון חיים</w:t>
      </w:r>
      <w:r>
        <w:rPr>
          <w:rFonts w:hint="cs"/>
          <w:rtl/>
        </w:rPr>
        <w:t xml:space="preserve"> ואף רצח. </w:t>
      </w:r>
    </w:p>
    <w:p w14:paraId="20DE631C" w14:textId="04970AAB" w:rsidR="00772A68" w:rsidRPr="00745F5E" w:rsidRDefault="00772A68" w:rsidP="00083B00">
      <w:pPr>
        <w:pStyle w:val="Hesber"/>
        <w:rPr>
          <w:rtl/>
        </w:rPr>
      </w:pPr>
      <w:r w:rsidRPr="00745F5E">
        <w:rPr>
          <w:rtl/>
        </w:rPr>
        <w:t xml:space="preserve"> </w:t>
      </w:r>
      <w:r>
        <w:rPr>
          <w:rFonts w:hint="cs"/>
          <w:rtl/>
        </w:rPr>
        <w:t>בחודש מר</w:t>
      </w:r>
      <w:r w:rsidR="00083B00">
        <w:rPr>
          <w:rFonts w:hint="cs"/>
          <w:rtl/>
        </w:rPr>
        <w:t>ס</w:t>
      </w:r>
      <w:r>
        <w:rPr>
          <w:rFonts w:hint="cs"/>
          <w:rtl/>
        </w:rPr>
        <w:t xml:space="preserve"> 2017 נחצה קו אדום נוסף כאשר אחות במרפאת שירותי בריאות כללית בחולון, טובה קררו ז"ל, נרצחה על ידי מטופל ששרף אותה למוות. אין ספק כי הגיעה השעה ליישם בחקיקה מדיניות של </w:t>
      </w:r>
      <w:r w:rsidR="0021616C">
        <w:rPr>
          <w:rFonts w:hint="cs"/>
          <w:rtl/>
        </w:rPr>
        <w:t>חוסר</w:t>
      </w:r>
      <w:r w:rsidR="00282F93">
        <w:rPr>
          <w:rFonts w:hint="cs"/>
          <w:rtl/>
        </w:rPr>
        <w:t xml:space="preserve"> </w:t>
      </w:r>
      <w:r>
        <w:rPr>
          <w:rFonts w:hint="cs"/>
          <w:rtl/>
        </w:rPr>
        <w:t>סובל</w:t>
      </w:r>
      <w:r w:rsidR="0021616C">
        <w:rPr>
          <w:rFonts w:hint="cs"/>
          <w:rtl/>
        </w:rPr>
        <w:t>נ</w:t>
      </w:r>
      <w:r>
        <w:rPr>
          <w:rFonts w:hint="cs"/>
          <w:rtl/>
        </w:rPr>
        <w:t xml:space="preserve">ות כלפי אלימות </w:t>
      </w:r>
      <w:r w:rsidR="0021616C">
        <w:rPr>
          <w:rFonts w:hint="cs"/>
          <w:rtl/>
        </w:rPr>
        <w:t xml:space="preserve">המופעלת </w:t>
      </w:r>
      <w:r>
        <w:rPr>
          <w:rFonts w:hint="cs"/>
          <w:rtl/>
        </w:rPr>
        <w:t>נגד רופאים ואנשי צוות רפוא</w:t>
      </w:r>
      <w:r w:rsidR="00282F93">
        <w:rPr>
          <w:rFonts w:hint="cs"/>
          <w:rtl/>
        </w:rPr>
        <w:t>י</w:t>
      </w:r>
      <w:r>
        <w:rPr>
          <w:rFonts w:hint="cs"/>
          <w:rtl/>
        </w:rPr>
        <w:t>.</w:t>
      </w:r>
    </w:p>
    <w:p w14:paraId="1350E176" w14:textId="77777777" w:rsidR="003B6D83" w:rsidRDefault="00772A68" w:rsidP="003B6D83">
      <w:pPr>
        <w:pStyle w:val="Hesber"/>
        <w:rPr>
          <w:rtl/>
        </w:rPr>
      </w:pPr>
      <w:r w:rsidRPr="00745F5E">
        <w:rPr>
          <w:rtl/>
        </w:rPr>
        <w:t>הצעת החוק</w:t>
      </w:r>
      <w:r w:rsidR="00282F93">
        <w:rPr>
          <w:rFonts w:hint="cs"/>
          <w:rtl/>
        </w:rPr>
        <w:t xml:space="preserve"> נועדה</w:t>
      </w:r>
      <w:r w:rsidRPr="00745F5E">
        <w:rPr>
          <w:rtl/>
        </w:rPr>
        <w:t xml:space="preserve"> להגן על </w:t>
      </w:r>
      <w:r>
        <w:rPr>
          <w:rFonts w:hint="cs"/>
          <w:rtl/>
        </w:rPr>
        <w:t>א</w:t>
      </w:r>
      <w:r w:rsidR="00282F93">
        <w:rPr>
          <w:rFonts w:hint="cs"/>
          <w:rtl/>
        </w:rPr>
        <w:t xml:space="preserve">יש </w:t>
      </w:r>
      <w:r>
        <w:rPr>
          <w:rFonts w:hint="cs"/>
          <w:rtl/>
        </w:rPr>
        <w:t>צוות רפואי</w:t>
      </w:r>
      <w:r w:rsidR="00282F93">
        <w:rPr>
          <w:rFonts w:hint="cs"/>
          <w:rtl/>
        </w:rPr>
        <w:t>,</w:t>
      </w:r>
      <w:r w:rsidR="003B6D83">
        <w:rPr>
          <w:rFonts w:hint="cs"/>
          <w:rtl/>
        </w:rPr>
        <w:t xml:space="preserve"> שהוא</w:t>
      </w:r>
      <w:r w:rsidRPr="00745F5E">
        <w:rPr>
          <w:rtl/>
        </w:rPr>
        <w:t xml:space="preserve"> </w:t>
      </w:r>
      <w:r w:rsidRPr="00506493">
        <w:rPr>
          <w:rtl/>
        </w:rPr>
        <w:t>רופא,</w:t>
      </w:r>
      <w:r w:rsidR="00282F93">
        <w:rPr>
          <w:rtl/>
        </w:rPr>
        <w:t xml:space="preserve"> רופא שיניים, סטז'ר, אח</w:t>
      </w:r>
      <w:r w:rsidR="00282F93">
        <w:rPr>
          <w:rFonts w:hint="cs"/>
          <w:rtl/>
        </w:rPr>
        <w:t>,</w:t>
      </w:r>
      <w:r w:rsidRPr="00506493">
        <w:rPr>
          <w:rtl/>
        </w:rPr>
        <w:t xml:space="preserve"> </w:t>
      </w:r>
      <w:r w:rsidR="00282F93">
        <w:rPr>
          <w:rtl/>
        </w:rPr>
        <w:t>מיילד</w:t>
      </w:r>
      <w:r w:rsidR="00282F93">
        <w:rPr>
          <w:rFonts w:hint="cs"/>
          <w:rtl/>
        </w:rPr>
        <w:t>, חובש, מי שממלא תפקיד במד"</w:t>
      </w:r>
      <w:r w:rsidR="003B6D83">
        <w:rPr>
          <w:rFonts w:hint="cs"/>
          <w:rtl/>
        </w:rPr>
        <w:t xml:space="preserve">א או </w:t>
      </w:r>
      <w:r w:rsidR="00282F93">
        <w:rPr>
          <w:rFonts w:hint="cs"/>
          <w:rtl/>
        </w:rPr>
        <w:t>בחדר מיון</w:t>
      </w:r>
      <w:r w:rsidR="003B6D83">
        <w:rPr>
          <w:rFonts w:hint="cs"/>
          <w:rtl/>
        </w:rPr>
        <w:t>,</w:t>
      </w:r>
      <w:r>
        <w:rPr>
          <w:rFonts w:hint="cs"/>
          <w:rtl/>
        </w:rPr>
        <w:t xml:space="preserve"> בעת מילוי תפקידם</w:t>
      </w:r>
      <w:r w:rsidR="003B6D83">
        <w:rPr>
          <w:rFonts w:hint="cs"/>
          <w:rtl/>
        </w:rPr>
        <w:t xml:space="preserve"> שהוא שיפור בריאות המטופלים והצלת חיים. </w:t>
      </w:r>
    </w:p>
    <w:p w14:paraId="0E8CF84D" w14:textId="72202F5E" w:rsidR="00772A68" w:rsidRDefault="00772A68" w:rsidP="00083B00">
      <w:pPr>
        <w:pStyle w:val="Hesber"/>
        <w:rPr>
          <w:rtl/>
        </w:rPr>
      </w:pPr>
      <w:r>
        <w:rPr>
          <w:rFonts w:hint="cs"/>
          <w:rtl/>
        </w:rPr>
        <w:t>כאשר מותקף איש צוות רפואי</w:t>
      </w:r>
      <w:r w:rsidR="003B6D83">
        <w:rPr>
          <w:rFonts w:hint="cs"/>
          <w:rtl/>
        </w:rPr>
        <w:t xml:space="preserve"> כאמור, נוסף על ה</w:t>
      </w:r>
      <w:r>
        <w:rPr>
          <w:rFonts w:hint="cs"/>
          <w:rtl/>
        </w:rPr>
        <w:t xml:space="preserve">פגיעה הקשה והברורה בו ובמשפחתו, </w:t>
      </w:r>
      <w:r w:rsidR="003B6D83">
        <w:rPr>
          <w:rFonts w:hint="cs"/>
          <w:rtl/>
        </w:rPr>
        <w:t>נוצרת</w:t>
      </w:r>
      <w:r>
        <w:rPr>
          <w:rFonts w:hint="cs"/>
          <w:rtl/>
        </w:rPr>
        <w:t xml:space="preserve"> פגיעה </w:t>
      </w:r>
      <w:r>
        <w:rPr>
          <w:rFonts w:hint="cs"/>
          <w:rtl/>
        </w:rPr>
        <w:lastRenderedPageBreak/>
        <w:t>עקיפה במטופליו</w:t>
      </w:r>
      <w:r w:rsidR="003B6D83">
        <w:rPr>
          <w:rFonts w:hint="cs"/>
          <w:rtl/>
        </w:rPr>
        <w:t xml:space="preserve"> ה</w:t>
      </w:r>
      <w:r w:rsidR="0021616C">
        <w:rPr>
          <w:rFonts w:hint="cs"/>
          <w:rtl/>
        </w:rPr>
        <w:t>נוכחיים</w:t>
      </w:r>
      <w:r w:rsidR="003B6D83">
        <w:rPr>
          <w:rFonts w:hint="cs"/>
          <w:rtl/>
        </w:rPr>
        <w:t>, ובמטופליו העתידיים</w:t>
      </w:r>
      <w:r>
        <w:rPr>
          <w:rFonts w:hint="cs"/>
          <w:rtl/>
        </w:rPr>
        <w:t xml:space="preserve">. </w:t>
      </w:r>
      <w:r w:rsidR="003B6D83">
        <w:rPr>
          <w:rFonts w:hint="cs"/>
          <w:rtl/>
        </w:rPr>
        <w:t xml:space="preserve">הדבר מחזק </w:t>
      </w:r>
      <w:r>
        <w:rPr>
          <w:rFonts w:hint="cs"/>
          <w:rtl/>
        </w:rPr>
        <w:t xml:space="preserve">את ההצדקה </w:t>
      </w:r>
      <w:r w:rsidR="003B6D83">
        <w:rPr>
          <w:rFonts w:hint="cs"/>
          <w:rtl/>
        </w:rPr>
        <w:t>להחמרת הענישה</w:t>
      </w:r>
      <w:r>
        <w:rPr>
          <w:rFonts w:hint="cs"/>
          <w:rtl/>
        </w:rPr>
        <w:t xml:space="preserve"> </w:t>
      </w:r>
      <w:r w:rsidR="00083B00">
        <w:rPr>
          <w:rFonts w:hint="cs"/>
          <w:rtl/>
        </w:rPr>
        <w:t xml:space="preserve">כלפי </w:t>
      </w:r>
      <w:r w:rsidR="003B6D83">
        <w:rPr>
          <w:rFonts w:hint="cs"/>
          <w:rtl/>
        </w:rPr>
        <w:t>אותם תוקפים.</w:t>
      </w:r>
    </w:p>
    <w:p w14:paraId="511E4E41" w14:textId="743EC3F5" w:rsidR="00772A68" w:rsidRDefault="003B6D83" w:rsidP="00083B00">
      <w:pPr>
        <w:pStyle w:val="Hesber"/>
        <w:rPr>
          <w:rtl/>
        </w:rPr>
      </w:pPr>
      <w:r>
        <w:rPr>
          <w:rFonts w:hint="cs"/>
          <w:rtl/>
        </w:rPr>
        <w:t>ב</w:t>
      </w:r>
      <w:r w:rsidR="00772A68">
        <w:rPr>
          <w:rFonts w:hint="cs"/>
          <w:rtl/>
        </w:rPr>
        <w:t>חוק העונשין</w:t>
      </w:r>
      <w:r>
        <w:rPr>
          <w:rFonts w:hint="cs"/>
          <w:rtl/>
        </w:rPr>
        <w:t>, התשל"ז</w:t>
      </w:r>
      <w:r>
        <w:rPr>
          <w:rFonts w:hint="eastAsia"/>
          <w:rtl/>
        </w:rPr>
        <w:t>–</w:t>
      </w:r>
      <w:r>
        <w:rPr>
          <w:rFonts w:hint="cs"/>
          <w:rtl/>
        </w:rPr>
        <w:t xml:space="preserve">1977 (להלן </w:t>
      </w:r>
      <w:r>
        <w:rPr>
          <w:rtl/>
        </w:rPr>
        <w:t>–</w:t>
      </w:r>
      <w:r>
        <w:rPr>
          <w:rFonts w:hint="cs"/>
          <w:rtl/>
        </w:rPr>
        <w:t xml:space="preserve"> החוק),</w:t>
      </w:r>
      <w:r w:rsidR="00772A68">
        <w:rPr>
          <w:rFonts w:hint="cs"/>
          <w:rtl/>
        </w:rPr>
        <w:t xml:space="preserve"> </w:t>
      </w:r>
      <w:r>
        <w:rPr>
          <w:rFonts w:hint="cs"/>
          <w:rtl/>
        </w:rPr>
        <w:t>העונש על</w:t>
      </w:r>
      <w:r w:rsidR="00772A68">
        <w:rPr>
          <w:rFonts w:hint="cs"/>
          <w:rtl/>
        </w:rPr>
        <w:t xml:space="preserve"> תקיפת עובד </w:t>
      </w:r>
      <w:r w:rsidR="00083B00">
        <w:rPr>
          <w:rFonts w:hint="cs"/>
          <w:rtl/>
        </w:rPr>
        <w:t>ה</w:t>
      </w:r>
      <w:r w:rsidR="00772A68">
        <w:rPr>
          <w:rFonts w:hint="cs"/>
          <w:rtl/>
        </w:rPr>
        <w:t xml:space="preserve">ציבור </w:t>
      </w:r>
      <w:r>
        <w:rPr>
          <w:rFonts w:hint="cs"/>
          <w:rtl/>
        </w:rPr>
        <w:t xml:space="preserve">הוא שלוש שנות מאסר. אם העבירה </w:t>
      </w:r>
      <w:r w:rsidR="00083B00">
        <w:rPr>
          <w:rFonts w:hint="cs"/>
          <w:rtl/>
        </w:rPr>
        <w:t>בוצעה</w:t>
      </w:r>
      <w:r>
        <w:rPr>
          <w:rFonts w:hint="cs"/>
          <w:rtl/>
        </w:rPr>
        <w:t xml:space="preserve"> בנסיבות מחמירות, העונש עליה הוא חמש שנות מאסר. </w:t>
      </w:r>
      <w:r w:rsidR="00772A68">
        <w:rPr>
          <w:rFonts w:hint="cs"/>
          <w:rtl/>
        </w:rPr>
        <w:t>נוסף</w:t>
      </w:r>
      <w:r>
        <w:rPr>
          <w:rFonts w:hint="cs"/>
          <w:rtl/>
        </w:rPr>
        <w:t xml:space="preserve"> על כך</w:t>
      </w:r>
      <w:r w:rsidR="00772A68">
        <w:rPr>
          <w:rFonts w:hint="cs"/>
          <w:rtl/>
        </w:rPr>
        <w:t xml:space="preserve">, </w:t>
      </w:r>
      <w:r>
        <w:rPr>
          <w:rFonts w:hint="cs"/>
          <w:rtl/>
        </w:rPr>
        <w:t xml:space="preserve">סעיף 382א(ג) </w:t>
      </w:r>
      <w:r w:rsidR="00083B00">
        <w:rPr>
          <w:rFonts w:hint="cs"/>
          <w:rtl/>
        </w:rPr>
        <w:t xml:space="preserve">לחוק </w:t>
      </w:r>
      <w:r>
        <w:rPr>
          <w:rFonts w:hint="cs"/>
          <w:rtl/>
        </w:rPr>
        <w:t>קובע</w:t>
      </w:r>
      <w:r w:rsidR="00772A68">
        <w:rPr>
          <w:rFonts w:hint="cs"/>
          <w:rtl/>
        </w:rPr>
        <w:t xml:space="preserve"> עבירה </w:t>
      </w:r>
      <w:r>
        <w:rPr>
          <w:rFonts w:hint="cs"/>
          <w:rtl/>
        </w:rPr>
        <w:t xml:space="preserve">של </w:t>
      </w:r>
      <w:r w:rsidR="00772A68">
        <w:rPr>
          <w:rFonts w:hint="cs"/>
          <w:rtl/>
        </w:rPr>
        <w:t>תקיפת עובד חירום</w:t>
      </w:r>
      <w:r>
        <w:rPr>
          <w:rFonts w:hint="cs"/>
          <w:rtl/>
        </w:rPr>
        <w:t xml:space="preserve"> בנסיבות מחמירות,</w:t>
      </w:r>
      <w:r w:rsidR="00772A68">
        <w:rPr>
          <w:rFonts w:hint="cs"/>
          <w:rtl/>
        </w:rPr>
        <w:t xml:space="preserve"> </w:t>
      </w:r>
      <w:r>
        <w:rPr>
          <w:rFonts w:hint="cs"/>
          <w:rtl/>
        </w:rPr>
        <w:t>שעונשה הוא חמש שנות מאסר.</w:t>
      </w:r>
    </w:p>
    <w:p w14:paraId="12ACFADE" w14:textId="6DCD361E" w:rsidR="00772A68" w:rsidRDefault="00772A68" w:rsidP="00083B00">
      <w:pPr>
        <w:pStyle w:val="Hesber"/>
        <w:rPr>
          <w:rtl/>
        </w:rPr>
      </w:pPr>
      <w:r>
        <w:rPr>
          <w:rFonts w:hint="cs"/>
          <w:rtl/>
        </w:rPr>
        <w:t xml:space="preserve">מוצע </w:t>
      </w:r>
      <w:r w:rsidR="003B6D83">
        <w:rPr>
          <w:rFonts w:hint="cs"/>
          <w:rtl/>
        </w:rPr>
        <w:t>להחליף את סעיף קטן (ג) האמור, ולקבוע במקומו</w:t>
      </w:r>
      <w:r>
        <w:rPr>
          <w:rFonts w:hint="cs"/>
          <w:rtl/>
        </w:rPr>
        <w:t xml:space="preserve"> </w:t>
      </w:r>
      <w:r w:rsidR="003B6D83">
        <w:rPr>
          <w:rFonts w:hint="cs"/>
          <w:rtl/>
        </w:rPr>
        <w:t xml:space="preserve">כי העונש על </w:t>
      </w:r>
      <w:r>
        <w:rPr>
          <w:rFonts w:hint="cs"/>
          <w:rtl/>
        </w:rPr>
        <w:t>עביר</w:t>
      </w:r>
      <w:r w:rsidR="003B6D83">
        <w:rPr>
          <w:rFonts w:hint="cs"/>
          <w:rtl/>
        </w:rPr>
        <w:t xml:space="preserve">ת </w:t>
      </w:r>
      <w:r>
        <w:rPr>
          <w:rFonts w:hint="cs"/>
          <w:rtl/>
        </w:rPr>
        <w:t>תקיפ</w:t>
      </w:r>
      <w:r w:rsidR="003B6D83">
        <w:rPr>
          <w:rFonts w:hint="cs"/>
          <w:rtl/>
        </w:rPr>
        <w:t>ה בסיסית של</w:t>
      </w:r>
      <w:r>
        <w:rPr>
          <w:rFonts w:hint="cs"/>
          <w:rtl/>
        </w:rPr>
        <w:t xml:space="preserve"> איש צוות רפואי</w:t>
      </w:r>
      <w:r w:rsidR="003B6D83">
        <w:rPr>
          <w:rFonts w:hint="cs"/>
          <w:rtl/>
        </w:rPr>
        <w:t xml:space="preserve"> (שהגדרתו חופפת להגדרת "עובד חירום"</w:t>
      </w:r>
      <w:r w:rsidR="0052506F">
        <w:rPr>
          <w:rFonts w:hint="cs"/>
          <w:rtl/>
        </w:rPr>
        <w:t>,</w:t>
      </w:r>
      <w:r w:rsidR="0021616C">
        <w:rPr>
          <w:rFonts w:hint="cs"/>
          <w:rtl/>
        </w:rPr>
        <w:t xml:space="preserve"> שלה מוצע להוסיף גם </w:t>
      </w:r>
      <w:r w:rsidR="003B6D83">
        <w:rPr>
          <w:rFonts w:hint="cs"/>
          <w:rtl/>
        </w:rPr>
        <w:t>רופא שיניים),</w:t>
      </w:r>
      <w:r>
        <w:rPr>
          <w:rFonts w:hint="cs"/>
          <w:rtl/>
        </w:rPr>
        <w:t xml:space="preserve"> </w:t>
      </w:r>
      <w:r w:rsidR="003B6D83">
        <w:rPr>
          <w:rFonts w:hint="cs"/>
          <w:rtl/>
        </w:rPr>
        <w:t>יהיה</w:t>
      </w:r>
      <w:r>
        <w:rPr>
          <w:rFonts w:hint="cs"/>
          <w:rtl/>
        </w:rPr>
        <w:t xml:space="preserve"> </w:t>
      </w:r>
      <w:r w:rsidR="0052506F">
        <w:rPr>
          <w:rFonts w:hint="cs"/>
          <w:rtl/>
        </w:rPr>
        <w:t>מאסר חמש שנים</w:t>
      </w:r>
      <w:r>
        <w:rPr>
          <w:rFonts w:hint="cs"/>
          <w:rtl/>
        </w:rPr>
        <w:t xml:space="preserve"> ולא פחות משישה חודשי</w:t>
      </w:r>
      <w:r w:rsidR="003B6D83">
        <w:rPr>
          <w:rFonts w:hint="cs"/>
          <w:rtl/>
        </w:rPr>
        <w:t>ם, למעט במקרים חריגים.</w:t>
      </w:r>
      <w:r>
        <w:rPr>
          <w:rFonts w:hint="cs"/>
          <w:rtl/>
        </w:rPr>
        <w:t xml:space="preserve"> </w:t>
      </w:r>
      <w:r w:rsidR="003B6D83">
        <w:rPr>
          <w:rFonts w:hint="cs"/>
          <w:rtl/>
        </w:rPr>
        <w:t xml:space="preserve">מוצע לקבוע עונש מינימום לעבירה חמורה זו </w:t>
      </w:r>
      <w:r>
        <w:rPr>
          <w:rFonts w:hint="cs"/>
          <w:rtl/>
        </w:rPr>
        <w:t>על מנת להבטיח כי אדם שיורשע</w:t>
      </w:r>
      <w:r w:rsidR="003B6D83">
        <w:rPr>
          <w:rFonts w:hint="cs"/>
          <w:rtl/>
        </w:rPr>
        <w:t xml:space="preserve"> בעבירה </w:t>
      </w:r>
      <w:r>
        <w:rPr>
          <w:rFonts w:hint="cs"/>
          <w:rtl/>
        </w:rPr>
        <w:t>ייענש בחומרה המתאימה</w:t>
      </w:r>
      <w:r w:rsidR="003B6D83">
        <w:rPr>
          <w:rFonts w:hint="cs"/>
          <w:rtl/>
        </w:rPr>
        <w:t xml:space="preserve"> על ידי ריצוי עונש מאסר מזערי</w:t>
      </w:r>
      <w:r>
        <w:rPr>
          <w:rFonts w:hint="cs"/>
          <w:rtl/>
        </w:rPr>
        <w:t>. רף ענישה מחמיר הוא תנאי הכרחי להצלחת המאבק נגד התופעה הפסולה</w:t>
      </w:r>
      <w:r w:rsidR="003B6D83">
        <w:rPr>
          <w:rFonts w:hint="cs"/>
          <w:rtl/>
        </w:rPr>
        <w:t xml:space="preserve"> של אלימות נגד אנשי צוות רפואי,</w:t>
      </w:r>
      <w:r>
        <w:rPr>
          <w:rFonts w:hint="cs"/>
          <w:rtl/>
        </w:rPr>
        <w:t xml:space="preserve"> ולהגנה על אלה שמקדישים חייהם לטיפול באחרים.</w:t>
      </w:r>
    </w:p>
    <w:p w14:paraId="4728B7ED" w14:textId="2E12F910" w:rsidR="00772A68" w:rsidRDefault="00772A68" w:rsidP="00F65763">
      <w:pPr>
        <w:pStyle w:val="Hesber"/>
        <w:rPr>
          <w:rtl/>
        </w:rPr>
      </w:pPr>
      <w:r>
        <w:rPr>
          <w:rFonts w:hint="cs"/>
          <w:rtl/>
        </w:rPr>
        <w:t>הצעת החוק נכתבה בשיתוף ההסתדרות הרפואית בישראל.</w:t>
      </w:r>
    </w:p>
    <w:p w14:paraId="0A770BEA" w14:textId="38CE0BBE" w:rsidR="00083B00" w:rsidRDefault="00083B00" w:rsidP="00F65763">
      <w:pPr>
        <w:pStyle w:val="Hesber"/>
        <w:rPr>
          <w:rtl/>
        </w:rPr>
      </w:pPr>
    </w:p>
    <w:p w14:paraId="2A23C1C9" w14:textId="77777777" w:rsidR="00083B00" w:rsidRDefault="00083B00" w:rsidP="00F65763">
      <w:pPr>
        <w:pStyle w:val="Hesber"/>
        <w:rPr>
          <w:rtl/>
        </w:rPr>
      </w:pPr>
    </w:p>
    <w:p w14:paraId="3047ACCA" w14:textId="77777777" w:rsidR="00083B00" w:rsidRPr="00D73212" w:rsidRDefault="00083B00" w:rsidP="00083B00">
      <w:pPr>
        <w:pStyle w:val="Hesber"/>
        <w:rPr>
          <w:color w:val="auto"/>
          <w:rtl/>
          <w:lang w:eastAsia="en-US"/>
        </w:rPr>
      </w:pPr>
      <w:r w:rsidRPr="00D73212">
        <w:rPr>
          <w:color w:val="auto"/>
          <w:rtl/>
          <w:lang w:eastAsia="en-US"/>
        </w:rPr>
        <w:t>---------------------------------</w:t>
      </w:r>
    </w:p>
    <w:p w14:paraId="48BC9022" w14:textId="77777777" w:rsidR="00083B00" w:rsidRPr="00D73212" w:rsidRDefault="00083B00" w:rsidP="00083B00">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04F23E86" w14:textId="77777777" w:rsidR="00083B00" w:rsidRPr="00D73212" w:rsidRDefault="00083B00" w:rsidP="00083B00">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5C5549CF" w14:textId="77777777" w:rsidR="00083B00" w:rsidRPr="00317312" w:rsidRDefault="00083B00" w:rsidP="00083B00">
      <w:pPr>
        <w:pStyle w:val="Hesber"/>
      </w:pPr>
      <w:r>
        <w:rPr>
          <w:rFonts w:hint="cs"/>
          <w:color w:val="auto"/>
          <w:rtl/>
          <w:lang w:eastAsia="en-US"/>
        </w:rPr>
        <w:t>י"א באדר</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26.2.18</w:t>
      </w:r>
    </w:p>
    <w:p w14:paraId="360E187E" w14:textId="77777777" w:rsidR="00083B00" w:rsidRDefault="00083B00" w:rsidP="00F65763">
      <w:pPr>
        <w:pStyle w:val="Hesber"/>
        <w:rPr>
          <w:rtl/>
        </w:rPr>
      </w:pPr>
      <w:bookmarkStart w:id="6" w:name="_GoBack"/>
      <w:bookmarkEnd w:id="6"/>
    </w:p>
    <w:p w14:paraId="3CCE0C4C" w14:textId="77777777" w:rsidR="00241CB5" w:rsidRDefault="00241CB5" w:rsidP="00F65763">
      <w:pPr>
        <w:pStyle w:val="Hesber"/>
        <w:rPr>
          <w:rtl/>
        </w:rPr>
      </w:pPr>
    </w:p>
    <w:p w14:paraId="7F6961CB" w14:textId="2EC7DA9C"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083B00">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74A7533D" w14:textId="4161C836" w:rsidR="00F65763" w:rsidRDefault="00F65763">
      <w:pPr>
        <w:pStyle w:val="a4"/>
        <w:rPr>
          <w:rtl/>
        </w:rPr>
      </w:pPr>
      <w:r>
        <w:rPr>
          <w:rStyle w:val="a5"/>
        </w:rPr>
        <w:footnoteRef/>
      </w:r>
      <w:r>
        <w:rPr>
          <w:rtl/>
        </w:rPr>
        <w:t xml:space="preserve"> </w:t>
      </w:r>
      <w:r>
        <w:rPr>
          <w:rFonts w:hint="cs"/>
          <w:rtl/>
        </w:rPr>
        <w:t>ס"ח התשל"ז, עמ' 226.</w:t>
      </w:r>
    </w:p>
  </w:footnote>
  <w:footnote w:id="3">
    <w:p w14:paraId="37EC2C3D" w14:textId="70B9243F" w:rsidR="002E0D22" w:rsidRDefault="002E0D22">
      <w:pPr>
        <w:pStyle w:val="a4"/>
        <w:rPr>
          <w:rtl/>
        </w:rPr>
      </w:pPr>
      <w:r>
        <w:rPr>
          <w:rStyle w:val="a5"/>
        </w:rPr>
        <w:footnoteRef/>
      </w:r>
      <w:r>
        <w:rPr>
          <w:rtl/>
        </w:rPr>
        <w:t xml:space="preserve"> </w:t>
      </w:r>
      <w:r>
        <w:rPr>
          <w:rFonts w:hint="cs"/>
          <w:rtl/>
        </w:rPr>
        <w:t>ס"ח התשנ"ו, עמ' 327.</w:t>
      </w:r>
    </w:p>
  </w:footnote>
  <w:footnote w:id="4">
    <w:p w14:paraId="7B83D349" w14:textId="27E469C0" w:rsidR="00282F93" w:rsidRDefault="00282F93">
      <w:pPr>
        <w:pStyle w:val="a4"/>
        <w:rPr>
          <w:rtl/>
        </w:rPr>
      </w:pPr>
      <w:r>
        <w:rPr>
          <w:rStyle w:val="a5"/>
        </w:rPr>
        <w:footnoteRef/>
      </w:r>
      <w:r>
        <w:rPr>
          <w:rtl/>
        </w:rPr>
        <w:t xml:space="preserve"> </w:t>
      </w:r>
      <w:r>
        <w:rPr>
          <w:rFonts w:hint="cs"/>
          <w:rtl/>
        </w:rPr>
        <w:t>ס"ח התש"י, עמ' 175.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476C5"/>
    <w:rsid w:val="00063A3E"/>
    <w:rsid w:val="00072CAC"/>
    <w:rsid w:val="0007681A"/>
    <w:rsid w:val="00083B00"/>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16C"/>
    <w:rsid w:val="0021633A"/>
    <w:rsid w:val="002200A1"/>
    <w:rsid w:val="002362BF"/>
    <w:rsid w:val="0024050E"/>
    <w:rsid w:val="00241B97"/>
    <w:rsid w:val="00241CB5"/>
    <w:rsid w:val="002425D1"/>
    <w:rsid w:val="00246756"/>
    <w:rsid w:val="00251E58"/>
    <w:rsid w:val="00254605"/>
    <w:rsid w:val="00266D86"/>
    <w:rsid w:val="002728B4"/>
    <w:rsid w:val="0027600C"/>
    <w:rsid w:val="00282F93"/>
    <w:rsid w:val="00292712"/>
    <w:rsid w:val="002A487D"/>
    <w:rsid w:val="002C2E29"/>
    <w:rsid w:val="002C3041"/>
    <w:rsid w:val="002D1EE3"/>
    <w:rsid w:val="002E0D22"/>
    <w:rsid w:val="002F1D80"/>
    <w:rsid w:val="003232A2"/>
    <w:rsid w:val="00325C14"/>
    <w:rsid w:val="0034622E"/>
    <w:rsid w:val="0036422C"/>
    <w:rsid w:val="003710F6"/>
    <w:rsid w:val="00386E88"/>
    <w:rsid w:val="00396585"/>
    <w:rsid w:val="003B6D83"/>
    <w:rsid w:val="003D6E38"/>
    <w:rsid w:val="003D74A0"/>
    <w:rsid w:val="004033D8"/>
    <w:rsid w:val="004073F0"/>
    <w:rsid w:val="00412A7D"/>
    <w:rsid w:val="00416B4D"/>
    <w:rsid w:val="00417CFC"/>
    <w:rsid w:val="00436E41"/>
    <w:rsid w:val="004A06DC"/>
    <w:rsid w:val="004B24ED"/>
    <w:rsid w:val="004B6625"/>
    <w:rsid w:val="004D2D82"/>
    <w:rsid w:val="004D3876"/>
    <w:rsid w:val="004E4552"/>
    <w:rsid w:val="004E6CDF"/>
    <w:rsid w:val="0052506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72A68"/>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5763"/>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styleId="ad">
    <w:name w:val="annotation reference"/>
    <w:basedOn w:val="a0"/>
    <w:semiHidden/>
    <w:unhideWhenUsed/>
    <w:rsid w:val="00F65763"/>
    <w:rPr>
      <w:sz w:val="16"/>
      <w:szCs w:val="16"/>
    </w:rPr>
  </w:style>
  <w:style w:type="paragraph" w:styleId="ae">
    <w:name w:val="annotation text"/>
    <w:basedOn w:val="a"/>
    <w:link w:val="af"/>
    <w:semiHidden/>
    <w:unhideWhenUsed/>
    <w:rsid w:val="00F65763"/>
    <w:pPr>
      <w:spacing w:line="240" w:lineRule="auto"/>
    </w:pPr>
    <w:rPr>
      <w:sz w:val="20"/>
      <w:szCs w:val="20"/>
    </w:rPr>
  </w:style>
  <w:style w:type="character" w:customStyle="1" w:styleId="af">
    <w:name w:val="טקסט הערה תו"/>
    <w:basedOn w:val="a0"/>
    <w:link w:val="ae"/>
    <w:semiHidden/>
    <w:rsid w:val="00F65763"/>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F65763"/>
    <w:rPr>
      <w:b/>
      <w:bCs/>
    </w:rPr>
  </w:style>
  <w:style w:type="character" w:customStyle="1" w:styleId="af1">
    <w:name w:val="נושא הערה תו"/>
    <w:basedOn w:val="af"/>
    <w:link w:val="af0"/>
    <w:semiHidden/>
    <w:rsid w:val="00F65763"/>
    <w:rPr>
      <w:rFonts w:ascii="Hadasa Roso SL" w:hAnsi="Hadasa Roso SL" w:cs="Hadasa Roso SL"/>
      <w:b/>
      <w:bCs/>
      <w:color w:val="000000"/>
      <w:spacing w:val="1"/>
      <w:lang w:eastAsia="ja-JP"/>
    </w:rPr>
  </w:style>
  <w:style w:type="character" w:customStyle="1" w:styleId="default">
    <w:name w:val="default"/>
    <w:rsid w:val="00F65763"/>
    <w:rPr>
      <w:rFonts w:ascii="Times New Roman" w:hAnsi="Times New Roman" w:cs="Times New Roman"/>
      <w:sz w:val="26"/>
      <w:szCs w:val="26"/>
    </w:rPr>
  </w:style>
  <w:style w:type="paragraph" w:customStyle="1" w:styleId="P00">
    <w:name w:val="P00"/>
    <w:rsid w:val="00F6576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character" w:customStyle="1" w:styleId="big-number">
    <w:name w:val="big-number"/>
    <w:rsid w:val="00241CB5"/>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75137">
      <w:bodyDiv w:val="1"/>
      <w:marLeft w:val="0"/>
      <w:marRight w:val="0"/>
      <w:marTop w:val="0"/>
      <w:marBottom w:val="0"/>
      <w:divBdr>
        <w:top w:val="none" w:sz="0" w:space="0" w:color="auto"/>
        <w:left w:val="none" w:sz="0" w:space="0" w:color="auto"/>
        <w:bottom w:val="none" w:sz="0" w:space="0" w:color="auto"/>
        <w:right w:val="none" w:sz="0" w:space="0" w:color="auto"/>
      </w:divBdr>
    </w:div>
    <w:div w:id="1666081122">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A7874416-682D-4F63-BF8A-551CD997F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2E9F08A-FD71-46E7-82C9-FA6D4C73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440</Words>
  <Characters>2205</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11</cp:revision>
  <cp:lastPrinted>2018-02-21T10:49:00Z</cp:lastPrinted>
  <dcterms:created xsi:type="dcterms:W3CDTF">2015-04-20T09:58:00Z</dcterms:created>
  <dcterms:modified xsi:type="dcterms:W3CDTF">2018-02-21T10:49:00Z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2064342</vt:r8>
  </property>
</Properties>
</file>