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2064706</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יוליה מלינובסקי</w:t>
      </w:r>
      <w:r>
        <w:br/>
      </w:r>
      <w:r>
        <w:rPr>
          <w:rFonts w:hint="cs"/>
          <w:b/>
          <w:bCs/>
          <w:rtl/>
        </w:rPr>
        <w:t xml:space="preserve"> </w:t>
      </w:r>
      <w:r>
        <w:tab/>
      </w:r>
      <w:r>
        <w:tab/>
      </w:r>
      <w:r>
        <w:tab/>
      </w:r>
      <w:r>
        <w:tab/>
      </w:r>
      <w:r>
        <w:rPr>
          <w:rFonts w:hint="cs"/>
          <w:b/>
          <w:bCs/>
          <w:rtl/>
        </w:rPr>
        <w:t>רוברט אילטוב</w:t>
      </w:r>
      <w:r>
        <w:br/>
      </w:r>
      <w:r>
        <w:rPr>
          <w:rFonts w:hint="cs"/>
          <w:b/>
          <w:bCs/>
          <w:rtl/>
        </w:rPr>
        <w:t xml:space="preserve"> </w:t>
      </w:r>
      <w:r>
        <w:tab/>
      </w:r>
      <w:r>
        <w:tab/>
      </w:r>
      <w:r>
        <w:tab/>
      </w:r>
      <w:r>
        <w:tab/>
      </w:r>
      <w:r>
        <w:rPr>
          <w:rFonts w:hint="cs"/>
          <w:b/>
          <w:bCs/>
          <w:rtl/>
        </w:rPr>
        <w:t>חמד עמאר</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פ/5180/20</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3F44C584" w:rsidR="00E13C27" w:rsidRPr="00F67051" w:rsidRDefault="00A443CF" w:rsidP="008376A6">
      <w:pPr>
        <w:pStyle w:val="HeadHatzaotHok"/>
        <w:rPr>
          <w:rtl/>
        </w:rPr>
      </w:pPr>
      <w:bookmarkStart w:id="7" w:name="LGS_Subject"/>
      <w:r>
        <w:rPr>
          <w:rFonts w:hint="cs"/>
          <w:rtl/>
        </w:rPr>
        <w:t>הצעת חוק העסקת עובדים על ידי קבלני כוח אדם (תיקון – פיצויי פיטורים), התשע"ח–2018</w:t>
      </w:r>
      <w:bookmarkEnd w:id="7"/>
    </w:p>
    <w:p w14:paraId="7F6961AE" w14:textId="77777777" w:rsidR="00E13C27" w:rsidRDefault="00E13C27" w:rsidP="0021633A">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1872"/>
        <w:gridCol w:w="624"/>
        <w:gridCol w:w="4650"/>
      </w:tblGrid>
      <w:tr w:rsidR="00035EE8" w14:paraId="6CE937DB" w14:textId="77777777" w:rsidTr="00F02D86">
        <w:trPr>
          <w:cantSplit/>
        </w:trPr>
        <w:tc>
          <w:tcPr>
            <w:tcW w:w="1871" w:type="dxa"/>
          </w:tcPr>
          <w:p w14:paraId="333717AF" w14:textId="5A27EF6A" w:rsidR="00035EE8" w:rsidRDefault="00035EE8" w:rsidP="005C2C08">
            <w:pPr>
              <w:pStyle w:val="TableSideHeading"/>
            </w:pPr>
            <w:r>
              <w:rPr>
                <w:rFonts w:hint="cs"/>
                <w:rtl/>
              </w:rPr>
              <w:t>הוספת סעיף 1</w:t>
            </w:r>
            <w:r w:rsidR="005C2C08">
              <w:rPr>
                <w:rFonts w:hint="cs"/>
                <w:rtl/>
              </w:rPr>
              <w:t>5</w:t>
            </w:r>
            <w:r>
              <w:rPr>
                <w:rFonts w:hint="cs"/>
                <w:rtl/>
              </w:rPr>
              <w:t>א</w:t>
            </w:r>
          </w:p>
        </w:tc>
        <w:tc>
          <w:tcPr>
            <w:tcW w:w="624" w:type="dxa"/>
          </w:tcPr>
          <w:p w14:paraId="639471EF" w14:textId="733B954F" w:rsidR="00035EE8" w:rsidRDefault="00035EE8" w:rsidP="00035EE8">
            <w:pPr>
              <w:pStyle w:val="TableText"/>
            </w:pPr>
            <w:r>
              <w:rPr>
                <w:rFonts w:hint="cs"/>
                <w:rtl/>
              </w:rPr>
              <w:t>1.</w:t>
            </w:r>
          </w:p>
        </w:tc>
        <w:tc>
          <w:tcPr>
            <w:tcW w:w="7146" w:type="dxa"/>
            <w:gridSpan w:val="3"/>
          </w:tcPr>
          <w:p w14:paraId="4FAE4DBD" w14:textId="4671B1B5" w:rsidR="00035EE8" w:rsidRDefault="00035EE8" w:rsidP="0061484F">
            <w:pPr>
              <w:pStyle w:val="TableBlock"/>
              <w:rPr>
                <w:rtl/>
              </w:rPr>
            </w:pPr>
            <w:r w:rsidRPr="009D147D">
              <w:rPr>
                <w:rFonts w:hint="cs"/>
                <w:rtl/>
              </w:rPr>
              <w:t xml:space="preserve">בחוק </w:t>
            </w:r>
            <w:r>
              <w:rPr>
                <w:rFonts w:hint="cs"/>
                <w:rtl/>
              </w:rPr>
              <w:t>העסקת עובדים על ידי קבלני כוח אדם, התשנ"ו</w:t>
            </w:r>
            <w:r w:rsidR="0061484F">
              <w:rPr>
                <w:rFonts w:hint="eastAsia"/>
                <w:rtl/>
              </w:rPr>
              <w:t>–</w:t>
            </w:r>
            <w:r>
              <w:rPr>
                <w:rFonts w:hint="cs"/>
                <w:rtl/>
              </w:rPr>
              <w:t>1996</w:t>
            </w:r>
            <w:r>
              <w:rPr>
                <w:rStyle w:val="a6"/>
                <w:rtl/>
              </w:rPr>
              <w:footnoteReference w:id="2"/>
            </w:r>
            <w:r>
              <w:rPr>
                <w:rFonts w:hint="cs"/>
                <w:rtl/>
              </w:rPr>
              <w:t>, אחרי סעיף</w:t>
            </w:r>
            <w:r>
              <w:rPr>
                <w:rFonts w:hint="cs"/>
                <w:b/>
                <w:bCs/>
                <w:rtl/>
              </w:rPr>
              <w:t xml:space="preserve"> </w:t>
            </w:r>
            <w:r w:rsidRPr="008376A6">
              <w:rPr>
                <w:rtl/>
              </w:rPr>
              <w:t>1</w:t>
            </w:r>
            <w:r w:rsidR="005C2C08">
              <w:rPr>
                <w:rFonts w:hint="cs"/>
                <w:rtl/>
              </w:rPr>
              <w:t>5</w:t>
            </w:r>
            <w:r w:rsidRPr="00035EE8">
              <w:rPr>
                <w:rFonts w:hint="cs"/>
                <w:rtl/>
              </w:rPr>
              <w:t xml:space="preserve"> </w:t>
            </w:r>
            <w:r w:rsidRPr="008376A6">
              <w:rPr>
                <w:rFonts w:hint="eastAsia"/>
                <w:rtl/>
              </w:rPr>
              <w:t>יבוא</w:t>
            </w:r>
            <w:r w:rsidRPr="008376A6">
              <w:rPr>
                <w:rtl/>
              </w:rPr>
              <w:t>:</w:t>
            </w:r>
          </w:p>
        </w:tc>
      </w:tr>
      <w:tr w:rsidR="00035EE8" w14:paraId="669942BC" w14:textId="77777777">
        <w:trPr>
          <w:cantSplit/>
          <w:trHeight w:val="60"/>
        </w:trPr>
        <w:tc>
          <w:tcPr>
            <w:tcW w:w="1871" w:type="dxa"/>
          </w:tcPr>
          <w:p w14:paraId="4A10B17D" w14:textId="77777777" w:rsidR="00035EE8" w:rsidRDefault="00035EE8" w:rsidP="00035EE8">
            <w:pPr>
              <w:pStyle w:val="TableSideHeading"/>
              <w:keepLines w:val="0"/>
            </w:pPr>
          </w:p>
        </w:tc>
        <w:tc>
          <w:tcPr>
            <w:tcW w:w="624" w:type="dxa"/>
          </w:tcPr>
          <w:p w14:paraId="7D75D5A8" w14:textId="77777777" w:rsidR="00035EE8" w:rsidRDefault="00035EE8" w:rsidP="00035EE8">
            <w:pPr>
              <w:pStyle w:val="TableText"/>
              <w:keepLines w:val="0"/>
            </w:pPr>
          </w:p>
        </w:tc>
        <w:tc>
          <w:tcPr>
            <w:tcW w:w="1872" w:type="dxa"/>
          </w:tcPr>
          <w:p w14:paraId="2C9298A6" w14:textId="0E8480A1" w:rsidR="00035EE8" w:rsidRDefault="00035EE8" w:rsidP="00035EE8">
            <w:pPr>
              <w:pStyle w:val="TableInnerSideHeading"/>
            </w:pPr>
            <w:r>
              <w:rPr>
                <w:rFonts w:hint="cs"/>
                <w:rtl/>
              </w:rPr>
              <w:t>"</w:t>
            </w:r>
            <w:r w:rsidR="005C2C08">
              <w:rPr>
                <w:rFonts w:hint="cs"/>
                <w:rtl/>
              </w:rPr>
              <w:t>זכאות ל</w:t>
            </w:r>
            <w:r>
              <w:rPr>
                <w:rFonts w:hint="cs"/>
                <w:rtl/>
              </w:rPr>
              <w:t xml:space="preserve">פיצויי פיטורים </w:t>
            </w:r>
            <w:r w:rsidR="005C2C08">
              <w:rPr>
                <w:rFonts w:hint="cs"/>
                <w:rtl/>
              </w:rPr>
              <w:t xml:space="preserve">במקרה של חילופי קבלנים </w:t>
            </w:r>
          </w:p>
        </w:tc>
        <w:tc>
          <w:tcPr>
            <w:tcW w:w="624" w:type="dxa"/>
          </w:tcPr>
          <w:p w14:paraId="0EF6F3A5" w14:textId="34CFFBDC" w:rsidR="00035EE8" w:rsidRDefault="00035EE8" w:rsidP="005C2C08">
            <w:pPr>
              <w:pStyle w:val="TableText"/>
            </w:pPr>
            <w:r>
              <w:rPr>
                <w:rFonts w:hint="cs"/>
                <w:rtl/>
              </w:rPr>
              <w:t>1</w:t>
            </w:r>
            <w:r w:rsidR="005C2C08">
              <w:rPr>
                <w:rFonts w:hint="cs"/>
                <w:rtl/>
              </w:rPr>
              <w:t>5</w:t>
            </w:r>
            <w:r>
              <w:rPr>
                <w:rFonts w:hint="cs"/>
                <w:rtl/>
              </w:rPr>
              <w:t>א.</w:t>
            </w:r>
          </w:p>
        </w:tc>
        <w:tc>
          <w:tcPr>
            <w:tcW w:w="4650" w:type="dxa"/>
          </w:tcPr>
          <w:p w14:paraId="32EDC487" w14:textId="6C06F772" w:rsidR="00872B4F" w:rsidRDefault="00872B4F" w:rsidP="006A7C5C">
            <w:pPr>
              <w:pStyle w:val="TableBlock"/>
            </w:pPr>
            <w:r>
              <w:rPr>
                <w:rFonts w:hint="cs"/>
                <w:rtl/>
              </w:rPr>
              <w:t xml:space="preserve">חדלה התקשרות בין מעסיק </w:t>
            </w:r>
            <w:r w:rsidR="006A7C5C">
              <w:rPr>
                <w:rFonts w:hint="cs"/>
                <w:rtl/>
              </w:rPr>
              <w:t xml:space="preserve">בפועל לקבלן כוח אדם או בין מזמין לקבלן שירות ועובדו של הקבלן עבר לעבוד אצל קבלן כוח אדם או קבלן שירות אחר אצל אותו מעסיק בפועל או מזמין שירות, יהיה העובד זכאי לפיצויי פיטורים מהקבלן כאילו פיטרו, אף אם הציע לו עבודה חלופית." </w:t>
            </w:r>
          </w:p>
        </w:tc>
      </w:tr>
    </w:tbl>
    <w:p w14:paraId="7F6961CA" w14:textId="77777777" w:rsidR="002D1EE3" w:rsidRDefault="002D1EE3" w:rsidP="002D1EE3">
      <w:pPr>
        <w:pStyle w:val="HeadDivreiHesber"/>
        <w:rPr>
          <w:rtl/>
        </w:rPr>
      </w:pPr>
      <w:r w:rsidRPr="0027450A">
        <w:rPr>
          <w:rFonts w:hint="cs"/>
          <w:rtl/>
        </w:rPr>
        <w:t>דברי הסבר</w:t>
      </w:r>
    </w:p>
    <w:p w14:paraId="2509FE3D" w14:textId="686FFF0D" w:rsidR="00007F69" w:rsidRDefault="00024356" w:rsidP="0061484F">
      <w:pPr>
        <w:pStyle w:val="Hesber"/>
        <w:rPr>
          <w:rtl/>
        </w:rPr>
      </w:pPr>
      <w:r>
        <w:rPr>
          <w:rFonts w:hint="cs"/>
          <w:rtl/>
        </w:rPr>
        <w:t xml:space="preserve">שיטת </w:t>
      </w:r>
      <w:r w:rsidR="00007F69">
        <w:rPr>
          <w:rFonts w:hint="cs"/>
          <w:rtl/>
        </w:rPr>
        <w:t xml:space="preserve">העסקת עובדים </w:t>
      </w:r>
      <w:r w:rsidR="00035EE8">
        <w:rPr>
          <w:rFonts w:hint="cs"/>
          <w:rtl/>
        </w:rPr>
        <w:t>על ידי קבלני כוח אדם</w:t>
      </w:r>
      <w:r w:rsidR="00007F69">
        <w:rPr>
          <w:rFonts w:hint="cs"/>
          <w:rtl/>
        </w:rPr>
        <w:t xml:space="preserve"> היא </w:t>
      </w:r>
      <w:r>
        <w:rPr>
          <w:rFonts w:hint="cs"/>
          <w:rtl/>
        </w:rPr>
        <w:t xml:space="preserve">שיטת העסקה </w:t>
      </w:r>
      <w:r w:rsidR="00007F69">
        <w:rPr>
          <w:rFonts w:hint="cs"/>
          <w:rtl/>
        </w:rPr>
        <w:t>נוראית ופוגענית שיש לשים לה סוף. עם זאת, אין להתעלם מהמציאות ומקיומה של התופעה. התעלמות מ</w:t>
      </w:r>
      <w:r w:rsidR="00035EE8">
        <w:rPr>
          <w:rFonts w:hint="cs"/>
          <w:rtl/>
        </w:rPr>
        <w:t>שיטת העסקת עובדים על ידי קבלני כוח אדם או קבלני שירות</w:t>
      </w:r>
      <w:r w:rsidR="00007F69">
        <w:rPr>
          <w:rFonts w:hint="cs"/>
          <w:rtl/>
        </w:rPr>
        <w:t xml:space="preserve"> </w:t>
      </w:r>
      <w:r w:rsidR="00035EE8">
        <w:rPr>
          <w:rFonts w:hint="cs"/>
          <w:rtl/>
        </w:rPr>
        <w:t xml:space="preserve">היא טמינת </w:t>
      </w:r>
      <w:r w:rsidR="00007F69">
        <w:rPr>
          <w:rFonts w:hint="cs"/>
          <w:rtl/>
        </w:rPr>
        <w:t xml:space="preserve">הראש </w:t>
      </w:r>
      <w:r w:rsidR="00035EE8">
        <w:rPr>
          <w:rFonts w:hint="cs"/>
          <w:rtl/>
        </w:rPr>
        <w:t>בחול ו</w:t>
      </w:r>
      <w:r w:rsidR="00007F69">
        <w:rPr>
          <w:rFonts w:hint="cs"/>
          <w:rtl/>
        </w:rPr>
        <w:t xml:space="preserve">אינה פותרת </w:t>
      </w:r>
      <w:r w:rsidR="00035EE8">
        <w:rPr>
          <w:rFonts w:hint="cs"/>
          <w:rtl/>
        </w:rPr>
        <w:t>את התופעה</w:t>
      </w:r>
      <w:r w:rsidR="00007F69">
        <w:rPr>
          <w:rFonts w:hint="cs"/>
          <w:rtl/>
        </w:rPr>
        <w:t xml:space="preserve">, להיפך, היא גורמת לעוולות כבדות יותר. לשם כך, הצעת חוק זו </w:t>
      </w:r>
      <w:r w:rsidR="0061484F">
        <w:rPr>
          <w:rFonts w:hint="cs"/>
          <w:rtl/>
        </w:rPr>
        <w:t>נועדה</w:t>
      </w:r>
      <w:r w:rsidR="00007F69">
        <w:rPr>
          <w:rFonts w:hint="cs"/>
          <w:rtl/>
        </w:rPr>
        <w:t xml:space="preserve"> להסדיר מעט מהתחומים </w:t>
      </w:r>
      <w:r w:rsidR="0061484F">
        <w:rPr>
          <w:rFonts w:hint="cs"/>
          <w:rtl/>
        </w:rPr>
        <w:t>ש</w:t>
      </w:r>
      <w:r w:rsidR="00007F69">
        <w:rPr>
          <w:rFonts w:hint="cs"/>
          <w:rtl/>
        </w:rPr>
        <w:t xml:space="preserve">בהם מועסקים ונפגעים עובדי </w:t>
      </w:r>
      <w:r w:rsidR="00035EE8">
        <w:rPr>
          <w:rFonts w:hint="cs"/>
          <w:rtl/>
        </w:rPr>
        <w:t>קבלני כוח האדם</w:t>
      </w:r>
      <w:r w:rsidR="00007F69">
        <w:rPr>
          <w:rFonts w:hint="cs"/>
          <w:rtl/>
        </w:rPr>
        <w:t xml:space="preserve"> פעם אחר פעם.</w:t>
      </w:r>
      <w:r w:rsidR="00DC59E9">
        <w:rPr>
          <w:rtl/>
        </w:rPr>
        <w:tab/>
      </w:r>
    </w:p>
    <w:p w14:paraId="480533F3" w14:textId="2B9879C1" w:rsidR="00DC59E9" w:rsidRPr="00E758B8" w:rsidRDefault="00DC59E9" w:rsidP="009F4F87">
      <w:pPr>
        <w:pStyle w:val="Hesber"/>
      </w:pPr>
      <w:r w:rsidRPr="00E758B8">
        <w:rPr>
          <w:rtl/>
        </w:rPr>
        <w:t xml:space="preserve">הצעת חוק זו נועדה </w:t>
      </w:r>
      <w:r w:rsidR="00035EE8">
        <w:rPr>
          <w:rFonts w:hint="cs"/>
          <w:rtl/>
        </w:rPr>
        <w:t>להבהיר</w:t>
      </w:r>
      <w:r w:rsidR="00035EE8" w:rsidRPr="00E758B8">
        <w:rPr>
          <w:rtl/>
        </w:rPr>
        <w:t xml:space="preserve"> </w:t>
      </w:r>
      <w:r w:rsidRPr="00E758B8">
        <w:rPr>
          <w:rtl/>
        </w:rPr>
        <w:t>בצורה ברורה כי ע</w:t>
      </w:r>
      <w:r>
        <w:rPr>
          <w:rtl/>
        </w:rPr>
        <w:t>ובדי קבלן אינם חפץ שניתן להעביר</w:t>
      </w:r>
      <w:r>
        <w:rPr>
          <w:rFonts w:hint="cs"/>
          <w:rtl/>
        </w:rPr>
        <w:t xml:space="preserve">ו </w:t>
      </w:r>
      <w:r w:rsidRPr="00E758B8">
        <w:rPr>
          <w:rtl/>
        </w:rPr>
        <w:t xml:space="preserve">ממקום למקום עם סיום ההתקשרות בין חברת הקבלן ובין מזמין השירות ונועדה לעגן את פסיקת בית הדין הארצי </w:t>
      </w:r>
      <w:r>
        <w:rPr>
          <w:rFonts w:hint="cs"/>
          <w:rtl/>
        </w:rPr>
        <w:t>ב</w:t>
      </w:r>
      <w:r w:rsidRPr="004B3166">
        <w:rPr>
          <w:rtl/>
        </w:rPr>
        <w:t>דב"ע ארצי</w:t>
      </w:r>
      <w:r w:rsidRPr="004B3166">
        <w:t>  </w:t>
      </w:r>
      <w:r>
        <w:rPr>
          <w:rFonts w:hint="cs"/>
          <w:rtl/>
        </w:rPr>
        <w:t>3-56</w:t>
      </w:r>
      <w:r w:rsidRPr="004B3166">
        <w:t>/</w:t>
      </w:r>
      <w:r w:rsidRPr="004B3166">
        <w:rPr>
          <w:rtl/>
        </w:rPr>
        <w:t>נז</w:t>
      </w:r>
      <w:r w:rsidRPr="004B3166">
        <w:rPr>
          <w:b/>
          <w:bCs/>
        </w:rPr>
        <w:t> </w:t>
      </w:r>
      <w:r w:rsidRPr="004B3166">
        <w:rPr>
          <w:b/>
          <w:bCs/>
          <w:rtl/>
        </w:rPr>
        <w:t>צבי שפיר נ</w:t>
      </w:r>
      <w:r w:rsidRPr="004B3166">
        <w:rPr>
          <w:rFonts w:hint="cs"/>
          <w:b/>
          <w:bCs/>
          <w:rtl/>
        </w:rPr>
        <w:t xml:space="preserve">' </w:t>
      </w:r>
      <w:r w:rsidRPr="004B3166">
        <w:rPr>
          <w:b/>
          <w:bCs/>
          <w:rtl/>
        </w:rPr>
        <w:t>המוסד לביטוח לאומ</w:t>
      </w:r>
      <w:r w:rsidRPr="004B3166">
        <w:rPr>
          <w:rFonts w:hint="cs"/>
          <w:b/>
          <w:bCs/>
          <w:rtl/>
        </w:rPr>
        <w:t>י</w:t>
      </w:r>
      <w:r>
        <w:rPr>
          <w:rFonts w:hint="cs"/>
          <w:rtl/>
        </w:rPr>
        <w:t xml:space="preserve"> (1999)</w:t>
      </w:r>
      <w:r>
        <w:rPr>
          <w:rtl/>
        </w:rPr>
        <w:t>,</w:t>
      </w:r>
      <w:r w:rsidRPr="00E758B8">
        <w:rPr>
          <w:rtl/>
        </w:rPr>
        <w:t xml:space="preserve"> </w:t>
      </w:r>
      <w:r w:rsidR="0061484F">
        <w:rPr>
          <w:rFonts w:hint="cs"/>
          <w:rtl/>
        </w:rPr>
        <w:t>ש</w:t>
      </w:r>
      <w:r w:rsidRPr="00E758B8">
        <w:rPr>
          <w:rtl/>
        </w:rPr>
        <w:t xml:space="preserve">בה נקבע כי סיום עבודה של עובד קבלן </w:t>
      </w:r>
      <w:r w:rsidR="009F4F87">
        <w:rPr>
          <w:rFonts w:hint="cs"/>
          <w:rtl/>
        </w:rPr>
        <w:t>בשל סיום התקשרות בין קבלן כוח האדם למזמין השירות</w:t>
      </w:r>
      <w:r w:rsidR="00035EE8" w:rsidRPr="00E758B8">
        <w:rPr>
          <w:rtl/>
        </w:rPr>
        <w:t xml:space="preserve"> </w:t>
      </w:r>
      <w:r w:rsidRPr="00E758B8">
        <w:rPr>
          <w:rtl/>
        </w:rPr>
        <w:t>דינו כפיטורים:</w:t>
      </w:r>
    </w:p>
    <w:p w14:paraId="0AA6DCCE" w14:textId="77777777" w:rsidR="00DC59E9" w:rsidRDefault="00DC59E9" w:rsidP="00DC59E9">
      <w:pPr>
        <w:pStyle w:val="Hesber"/>
        <w:rPr>
          <w:rtl/>
        </w:rPr>
      </w:pPr>
      <w:r w:rsidRPr="00E758B8">
        <w:rPr>
          <w:rtl/>
        </w:rPr>
        <w:t xml:space="preserve">"המערער לא היה עובד זמני מזדמן. הוא עבד תקופה ארוכה במפעלי ים המלח בע"מ. בכל פעם שמפעלי ים המלח האריכו את ההסכם עם המשיבה הם התייחסו ספציפית להמשך עבודתו של המערער. ההודעה </w:t>
      </w:r>
      <w:r w:rsidRPr="00E758B8">
        <w:rPr>
          <w:rtl/>
        </w:rPr>
        <w:lastRenderedPageBreak/>
        <w:t xml:space="preserve">על סיום עבודתו על-ידי המשתמש, מפעלי ים המלח בע"מ, יש לראותם כפיטורים לכל דבר ועניין ואין לראותו כמחויב לקבל מהמשיבה עבודה אחרת. פיטורים אלו מזכים אותו בפיצויי פיטורים מהמשיבה." </w:t>
      </w:r>
    </w:p>
    <w:p w14:paraId="3E71710D" w14:textId="3B8A84FD" w:rsidR="00DC59E9" w:rsidRDefault="00DC59E9" w:rsidP="00D7214F">
      <w:pPr>
        <w:pStyle w:val="Hesber"/>
        <w:rPr>
          <w:rtl/>
        </w:rPr>
      </w:pPr>
      <w:r>
        <w:rPr>
          <w:rFonts w:hint="cs"/>
          <w:rtl/>
        </w:rPr>
        <w:t xml:space="preserve">כמו כן, הצעת חוק זו נועדה לעגן בחקיקה את פסיקת בית הדין האזורי לעבודה בחיפה </w:t>
      </w:r>
      <w:r w:rsidRPr="00DC59E9">
        <w:rPr>
          <w:rtl/>
        </w:rPr>
        <w:t>סעש (חי') 12332-08-13</w:t>
      </w:r>
      <w:r>
        <w:t>/</w:t>
      </w:r>
      <w:r>
        <w:rPr>
          <w:rFonts w:hint="cs"/>
          <w:rtl/>
        </w:rPr>
        <w:t xml:space="preserve"> </w:t>
      </w:r>
      <w:r w:rsidRPr="00DC59E9">
        <w:rPr>
          <w:b/>
          <w:bCs/>
          <w:rtl/>
        </w:rPr>
        <w:t>ניר אלקיים נ' ש.א.ש. צפון ועמקים - אבטחה ושמירה בע"מ</w:t>
      </w:r>
      <w:r>
        <w:rPr>
          <w:rFonts w:hint="cs"/>
          <w:rtl/>
        </w:rPr>
        <w:t xml:space="preserve">, </w:t>
      </w:r>
      <w:r w:rsidR="0061484F">
        <w:rPr>
          <w:rFonts w:hint="cs"/>
          <w:rtl/>
        </w:rPr>
        <w:t>ש</w:t>
      </w:r>
      <w:r>
        <w:rPr>
          <w:rFonts w:hint="cs"/>
          <w:rtl/>
        </w:rPr>
        <w:t xml:space="preserve">בה נקבע כי </w:t>
      </w:r>
      <w:r>
        <w:rPr>
          <w:rtl/>
        </w:rPr>
        <w:t>כאשר מעסיק מודיע לעובד שמירה על הפסקת עבודה באתר, והעובד מבקש להמשיך לעבוד באותו מקום עבודה, הוא רשאי לעשות כן תוך קבלת פיצויי פיטורים מהמעסיק הראשון, אפילו אם הוצעה לו עבודה חלופית והוא סירב. כאשר מקום העבודה ממשיך להתקיים וקבלן השמירה החדש מוכן לקלוט את העובד ולהמשיך את העסקתו ברציפות</w:t>
      </w:r>
      <w:r w:rsidR="00D7214F">
        <w:rPr>
          <w:rFonts w:hint="cs"/>
          <w:rtl/>
        </w:rPr>
        <w:t>,</w:t>
      </w:r>
      <w:r>
        <w:rPr>
          <w:rtl/>
        </w:rPr>
        <w:t xml:space="preserve"> אך מובן וטבעי שהעובד ירצה להמשיך לעבוד באותו מקום עבודה שבו הועסק במשך שנים רבות, אליו הוא רגיל. על כן, אין מקום לבחון את אופי העבודות שהוצעו לעובדים, ואין זה משנה אם הוצע להם שכר שעתי גבוה יותר או הוצע להם מקום עבודה קרוב יותר למקום מגוריהם. אין כל חשיבות לדרך המדויקת שבה הפסיקה החברה לספק שירותי שמירה בבית החולים. בין אם מדובר בהפסד מכרז, סיום התקשרות, העברת בעלות או כל דרך אחרת, הלכה למעשה החברה הפסיקה לתת שירות במקום העבודה, והוחלפה על ידי קבלן שמירה אחר.</w:t>
      </w:r>
    </w:p>
    <w:p w14:paraId="1CBDF5DA" w14:textId="683DADC9" w:rsidR="00FB2365" w:rsidRDefault="00FB2365" w:rsidP="008376A6">
      <w:pPr>
        <w:pStyle w:val="Hesber"/>
        <w:rPr>
          <w:rtl/>
        </w:rPr>
      </w:pPr>
      <w:r>
        <w:rPr>
          <w:rFonts w:hint="cs"/>
          <w:rtl/>
        </w:rPr>
        <w:t>לאחרונה, אנו נתקלים רבות במקרים בהם עובדי חברות קבלן המעוניינים לשמור על מקום עבודתם הפיזי נאלצים להילחם על הישארותם ועל פיצויי הפיטורים שלהם בבתי המשפט וזאת על אף שישנן פסיקות תקדימיות לזכותם</w:t>
      </w:r>
      <w:r w:rsidR="00024356">
        <w:rPr>
          <w:rFonts w:hint="cs"/>
          <w:rtl/>
        </w:rPr>
        <w:t>.</w:t>
      </w:r>
      <w:r>
        <w:rPr>
          <w:rFonts w:hint="cs"/>
          <w:rtl/>
        </w:rPr>
        <w:t xml:space="preserve"> לשם כך, </w:t>
      </w:r>
      <w:r w:rsidR="008376A6">
        <w:rPr>
          <w:rFonts w:hint="cs"/>
          <w:rtl/>
        </w:rPr>
        <w:t xml:space="preserve">נועדה </w:t>
      </w:r>
      <w:r>
        <w:rPr>
          <w:rFonts w:hint="cs"/>
          <w:rtl/>
        </w:rPr>
        <w:t xml:space="preserve">הצעת החוק לעגן אחת ולתמיד את הסוגיה בחקיקה הראשית. </w:t>
      </w:r>
    </w:p>
    <w:p w14:paraId="7F6961CB" w14:textId="70D605BB" w:rsidR="00E13C27" w:rsidRDefault="00024356" w:rsidP="006A7C5C">
      <w:pPr>
        <w:pStyle w:val="Hesber"/>
        <w:rPr>
          <w:rtl/>
        </w:rPr>
      </w:pPr>
      <w:r>
        <w:rPr>
          <w:rFonts w:hint="cs"/>
          <w:rtl/>
        </w:rPr>
        <w:t>לפיכך</w:t>
      </w:r>
      <w:r w:rsidR="0061484F">
        <w:rPr>
          <w:rFonts w:hint="cs"/>
          <w:rtl/>
        </w:rPr>
        <w:t>,</w:t>
      </w:r>
      <w:r>
        <w:rPr>
          <w:rFonts w:hint="cs"/>
          <w:rtl/>
        </w:rPr>
        <w:t xml:space="preserve"> מוצע לתקן את חוק העסקת עובדים על ידי קבלני כוח אדם, התשנ"ו</w:t>
      </w:r>
      <w:r>
        <w:rPr>
          <w:rFonts w:hint="eastAsia"/>
          <w:rtl/>
        </w:rPr>
        <w:t>–</w:t>
      </w:r>
      <w:r>
        <w:rPr>
          <w:rFonts w:hint="cs"/>
          <w:rtl/>
        </w:rPr>
        <w:t xml:space="preserve">1996, ולקבוע כי אם </w:t>
      </w:r>
      <w:r w:rsidR="006A7C5C" w:rsidRPr="006A7C5C">
        <w:rPr>
          <w:rFonts w:hint="cs"/>
          <w:rtl/>
        </w:rPr>
        <w:t>חדלה התקשרות בין מעסיק בפועל לקבלן כוח אדם או בין מזמין לקבלן שירות ועובדו של הקבלן עבר לעבוד אצל קבלן כוח אדם או קבלן שירות אחר אצל אותו מעסיק בפועל או מזמין שירות, יהיה העובד זכאי לפיצויי פיטורים מהקבלן כאילו פיטרו, אף אם הציע לו עבודה חלופית</w:t>
      </w:r>
      <w:r>
        <w:rPr>
          <w:rFonts w:hint="cs"/>
          <w:rtl/>
        </w:rPr>
        <w:t xml:space="preserve">. </w:t>
      </w:r>
    </w:p>
    <w:p w14:paraId="0DBEEEA6" w14:textId="77777777" w:rsidR="0061484F" w:rsidRDefault="0061484F" w:rsidP="006A7C5C">
      <w:pPr>
        <w:pStyle w:val="Hesber"/>
        <w:rPr>
          <w:rtl/>
        </w:rPr>
      </w:pPr>
    </w:p>
    <w:p w14:paraId="5414550D" w14:textId="77777777" w:rsidR="0061484F" w:rsidRDefault="0061484F" w:rsidP="006A7C5C">
      <w:pPr>
        <w:pStyle w:val="Hesber"/>
        <w:rPr>
          <w:rtl/>
        </w:rPr>
      </w:pPr>
    </w:p>
    <w:p w14:paraId="74FA003D" w14:textId="77777777" w:rsidR="0061484F" w:rsidRDefault="0061484F" w:rsidP="0061484F">
      <w:pPr>
        <w:pStyle w:val="Hesber"/>
        <w:rPr>
          <w:color w:val="auto"/>
          <w:lang w:eastAsia="en-US"/>
        </w:rPr>
      </w:pPr>
      <w:r>
        <w:rPr>
          <w:rFonts w:hint="cs"/>
          <w:color w:val="auto"/>
          <w:rtl/>
          <w:lang w:eastAsia="en-US"/>
        </w:rPr>
        <w:t>---------------------------------</w:t>
      </w:r>
    </w:p>
    <w:p w14:paraId="35E829E8" w14:textId="77777777" w:rsidR="0061484F" w:rsidRDefault="0061484F" w:rsidP="0061484F">
      <w:pPr>
        <w:pStyle w:val="Hesber"/>
        <w:rPr>
          <w:rFonts w:hint="cs"/>
          <w:color w:val="auto"/>
          <w:rtl/>
          <w:lang w:eastAsia="en-US"/>
        </w:rPr>
      </w:pPr>
      <w:r>
        <w:rPr>
          <w:rFonts w:hint="cs"/>
          <w:color w:val="auto"/>
          <w:rtl/>
          <w:lang w:eastAsia="en-US"/>
        </w:rPr>
        <w:t>הוגשה ליו"ר הכנסת והסגנים</w:t>
      </w:r>
    </w:p>
    <w:p w14:paraId="269C8BF7" w14:textId="77777777" w:rsidR="0061484F" w:rsidRDefault="0061484F" w:rsidP="0061484F">
      <w:pPr>
        <w:pStyle w:val="Hesber"/>
        <w:rPr>
          <w:rFonts w:hint="cs"/>
          <w:color w:val="auto"/>
          <w:rtl/>
          <w:lang w:eastAsia="en-US"/>
        </w:rPr>
      </w:pPr>
      <w:r>
        <w:rPr>
          <w:rFonts w:hint="cs"/>
          <w:color w:val="auto"/>
          <w:rtl/>
          <w:lang w:eastAsia="en-US"/>
        </w:rPr>
        <w:t>והונחה על שולחן הכנסת ביום</w:t>
      </w:r>
    </w:p>
    <w:p w14:paraId="5EB23EAC" w14:textId="77777777" w:rsidR="0061484F" w:rsidRDefault="0061484F" w:rsidP="0061484F">
      <w:pPr>
        <w:pStyle w:val="Hesber"/>
        <w:rPr>
          <w:rtl/>
        </w:rPr>
      </w:pPr>
      <w:r>
        <w:rPr>
          <w:color w:val="auto"/>
          <w:rtl/>
          <w:lang w:eastAsia="en-US"/>
        </w:rPr>
        <w:t>י"א באדר התשע"ח – 26.2.18</w:t>
      </w:r>
    </w:p>
    <w:p w14:paraId="1C4B9108" w14:textId="77777777" w:rsidR="0061484F" w:rsidRDefault="0061484F" w:rsidP="006A7C5C">
      <w:pPr>
        <w:pStyle w:val="Hesber"/>
        <w:rPr>
          <w:rtl/>
        </w:rPr>
      </w:pPr>
      <w:bookmarkStart w:id="8" w:name="_GoBack"/>
      <w:bookmarkEnd w:id="8"/>
    </w:p>
    <w:sectPr w:rsidR="0061484F"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61484F">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4CDC52F6" w14:textId="77777777" w:rsidR="00035EE8" w:rsidRDefault="00035EE8">
      <w:pPr>
        <w:pStyle w:val="a4"/>
      </w:pPr>
      <w:r>
        <w:rPr>
          <w:rStyle w:val="a6"/>
        </w:rPr>
        <w:footnoteRef/>
      </w:r>
      <w:r>
        <w:rPr>
          <w:rtl/>
        </w:rPr>
        <w:t xml:space="preserve"> </w:t>
      </w:r>
      <w:r>
        <w:rPr>
          <w:rFonts w:hint="cs"/>
          <w:rtl/>
        </w:rPr>
        <w:t>ס"ח התשנ"ו, עמ' 201.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07F69"/>
    <w:rsid w:val="00015B27"/>
    <w:rsid w:val="00024356"/>
    <w:rsid w:val="00035EE8"/>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A2FC0"/>
    <w:rsid w:val="001C23B0"/>
    <w:rsid w:val="001D7AAF"/>
    <w:rsid w:val="00203A7F"/>
    <w:rsid w:val="0021633A"/>
    <w:rsid w:val="002200A1"/>
    <w:rsid w:val="002362BF"/>
    <w:rsid w:val="00241B97"/>
    <w:rsid w:val="002425D1"/>
    <w:rsid w:val="00243295"/>
    <w:rsid w:val="00246756"/>
    <w:rsid w:val="00251E58"/>
    <w:rsid w:val="00254605"/>
    <w:rsid w:val="00266D86"/>
    <w:rsid w:val="002728B4"/>
    <w:rsid w:val="0027600C"/>
    <w:rsid w:val="00292712"/>
    <w:rsid w:val="002A487D"/>
    <w:rsid w:val="002C2E29"/>
    <w:rsid w:val="002C3041"/>
    <w:rsid w:val="002D1EE3"/>
    <w:rsid w:val="002F1D80"/>
    <w:rsid w:val="00312006"/>
    <w:rsid w:val="003232A2"/>
    <w:rsid w:val="00325C14"/>
    <w:rsid w:val="0036422C"/>
    <w:rsid w:val="003710F6"/>
    <w:rsid w:val="00386E88"/>
    <w:rsid w:val="00396585"/>
    <w:rsid w:val="003D6E38"/>
    <w:rsid w:val="003D74A0"/>
    <w:rsid w:val="004033D8"/>
    <w:rsid w:val="004073F0"/>
    <w:rsid w:val="00412A7D"/>
    <w:rsid w:val="00416B4D"/>
    <w:rsid w:val="00417CFC"/>
    <w:rsid w:val="00434ADF"/>
    <w:rsid w:val="004A06DC"/>
    <w:rsid w:val="004B24ED"/>
    <w:rsid w:val="004B6625"/>
    <w:rsid w:val="004D2D82"/>
    <w:rsid w:val="004D3876"/>
    <w:rsid w:val="004E4552"/>
    <w:rsid w:val="004E6CDF"/>
    <w:rsid w:val="00553C9D"/>
    <w:rsid w:val="00562A66"/>
    <w:rsid w:val="005B064E"/>
    <w:rsid w:val="005C2C08"/>
    <w:rsid w:val="005D51AE"/>
    <w:rsid w:val="0061484F"/>
    <w:rsid w:val="0062674B"/>
    <w:rsid w:val="006363B2"/>
    <w:rsid w:val="00644940"/>
    <w:rsid w:val="006818A9"/>
    <w:rsid w:val="006A2D81"/>
    <w:rsid w:val="006A7C5C"/>
    <w:rsid w:val="006C1D0D"/>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376A6"/>
    <w:rsid w:val="00843EB2"/>
    <w:rsid w:val="00865572"/>
    <w:rsid w:val="00872B4F"/>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9F4F87"/>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B20FC"/>
    <w:rsid w:val="00CF1AA2"/>
    <w:rsid w:val="00D17774"/>
    <w:rsid w:val="00D63620"/>
    <w:rsid w:val="00D7214F"/>
    <w:rsid w:val="00D8410D"/>
    <w:rsid w:val="00D867D7"/>
    <w:rsid w:val="00DB7060"/>
    <w:rsid w:val="00DC59E9"/>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E73FB"/>
    <w:rsid w:val="00EF3A3A"/>
    <w:rsid w:val="00F628D6"/>
    <w:rsid w:val="00F67051"/>
    <w:rsid w:val="00F86A1E"/>
    <w:rsid w:val="00FA5E88"/>
    <w:rsid w:val="00FB23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semiHidden/>
    <w:locked/>
    <w:rsid w:val="00EE73FB"/>
    <w:rPr>
      <w:rFonts w:ascii="Arial" w:eastAsia="Arial Unicode MS" w:hAnsi="Arial" w:cs="David"/>
      <w:snapToGrid w:val="0"/>
      <w:color w:val="000000"/>
      <w:sz w:val="14"/>
      <w:lang w:eastAsia="ja-JP"/>
    </w:rPr>
  </w:style>
  <w:style w:type="character" w:customStyle="1" w:styleId="default">
    <w:name w:val="default"/>
    <w:basedOn w:val="a0"/>
    <w:rsid w:val="00EE73F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246A1-4119-4AA1-BDE1-D9EEE6AB1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EA79318-732B-4F6C-A5FC-1C15A3AD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566</Words>
  <Characters>2835</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חנה קרליץ</cp:lastModifiedBy>
  <cp:revision>16</cp:revision>
  <cp:lastPrinted>2018-02-22T10:12:00Z</cp:lastPrinted>
  <dcterms:created xsi:type="dcterms:W3CDTF">2015-04-20T09:58:00Z</dcterms:created>
  <dcterms:modified xsi:type="dcterms:W3CDTF">2018-02-22T10:22:00Z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2064706</vt:r8>
  </property>
</Properties>
</file>