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6961A1" w14:textId="77777777" w:rsidR="002C2E29" w:rsidRPr="0000131B" w:rsidRDefault="004033D8" w:rsidP="00A443CF">
      <w:pPr>
        <w:pStyle w:val="HeadHatzaotHok"/>
        <w:jc w:val="right"/>
        <w:rPr>
          <w:b w:val="0"/>
          <w:bCs w:val="0"/>
          <w:szCs w:val="20"/>
        </w:rPr>
      </w:pPr>
      <w:r w:rsidRPr="0000131B">
        <w:rPr>
          <w:rFonts w:hint="cs"/>
          <w:b w:val="0"/>
          <w:bCs w:val="0"/>
          <w:szCs w:val="20"/>
          <w:rtl/>
        </w:rPr>
        <w:t xml:space="preserve">מספר פנימי: </w:t>
      </w:r>
      <w:bookmarkStart w:id="0" w:name="LGS_Internal_ID"/>
      <w:r>
        <w:rPr>
          <w:rFonts w:hint="cs"/>
          <w:b w:val="0"/>
          <w:bCs w:val="0"/>
          <w:szCs w:val="20"/>
          <w:rtl/>
        </w:rPr>
        <w:t>2065320</w:t>
      </w:r>
      <w:bookmarkEnd w:id="0"/>
    </w:p>
    <w:p w14:paraId="7F6961A2" w14:textId="53D639AE" w:rsidR="00E13C27" w:rsidRPr="00DB7060" w:rsidRDefault="00E13C27" w:rsidP="00A443CF">
      <w:pPr>
        <w:pStyle w:val="HeadHatzaotHok"/>
        <w:rPr>
          <w:sz w:val="28"/>
          <w:szCs w:val="28"/>
          <w:rtl/>
        </w:rPr>
      </w:pPr>
      <w:r w:rsidRPr="00DB7060">
        <w:rPr>
          <w:rFonts w:hint="cs"/>
          <w:sz w:val="28"/>
          <w:szCs w:val="28"/>
          <w:rtl/>
        </w:rPr>
        <w:t xml:space="preserve">הכנסת </w:t>
      </w:r>
      <w:bookmarkStart w:id="1" w:name="LGS_Knesset_Num"/>
      <w:r>
        <w:rPr>
          <w:rFonts w:hint="cs"/>
          <w:sz w:val="28"/>
          <w:szCs w:val="28"/>
          <w:rtl/>
        </w:rPr>
        <w:t>העשרים</w:t>
      </w:r>
      <w:bookmarkEnd w:id="1"/>
    </w:p>
    <w:p w14:paraId="7F6961A3" w14:textId="77777777" w:rsidR="00E13C27" w:rsidRPr="00F67051" w:rsidRDefault="00E13C27" w:rsidP="00E13C27">
      <w:pPr>
        <w:rPr>
          <w:rFonts w:cs="David"/>
          <w:b/>
          <w:bCs/>
          <w:sz w:val="26"/>
          <w:szCs w:val="26"/>
          <w:rtl/>
        </w:rPr>
      </w:pPr>
    </w:p>
    <w:p w14:paraId="7F6961A6" w14:textId="77777777" w:rsidR="00E13C27" w:rsidRDefault="008F6665" w:rsidP="00930EFE">
      <w:pPr>
        <w:pStyle w:val="David"/>
        <w:spacing w:line="360" w:lineRule="auto"/>
        <w:ind w:left="3544"/>
        <w:rPr>
          <w:b/>
          <w:bCs/>
          <w:rtl/>
        </w:rPr>
      </w:pPr>
      <w:bookmarkStart w:id="2" w:name="LGS_Initiators_List"/>
      <w:r>
        <w:rPr>
          <w:b/>
          <w:bCs/>
          <w:rtl/>
        </w:rPr>
        <w:t>יוזמים:      חברי הכנסת</w:t>
      </w:r>
      <w:bookmarkEnd w:id="2"/>
      <w:r w:rsidR="00B35784" w:rsidRPr="00F67051">
        <w:rPr>
          <w:b/>
          <w:bCs/>
        </w:rPr>
        <w:tab/>
      </w:r>
      <w:bookmarkStart w:id="3" w:name="LGS_PM_Names"/>
      <w:r>
        <w:rPr>
          <w:rFonts w:hint="cs"/>
          <w:b/>
          <w:bCs/>
          <w:rtl/>
        </w:rPr>
        <w:t>משה גפני</w:t>
      </w:r>
      <w:r>
        <w:br/>
      </w:r>
      <w:r>
        <w:rPr>
          <w:rFonts w:hint="cs"/>
          <w:b/>
          <w:bCs/>
          <w:rtl/>
        </w:rPr>
        <w:t xml:space="preserve"> </w:t>
      </w:r>
      <w:r>
        <w:tab/>
      </w:r>
      <w:r>
        <w:tab/>
      </w:r>
      <w:r>
        <w:tab/>
      </w:r>
      <w:r>
        <w:tab/>
      </w:r>
      <w:r>
        <w:rPr>
          <w:rFonts w:hint="cs"/>
          <w:b/>
          <w:bCs/>
          <w:rtl/>
        </w:rPr>
        <w:t>אלעזר שטרן</w:t>
      </w:r>
      <w:r>
        <w:br/>
      </w:r>
      <w:r>
        <w:rPr>
          <w:rFonts w:hint="cs"/>
          <w:b/>
          <w:bCs/>
          <w:rtl/>
        </w:rPr>
        <w:t xml:space="preserve"> </w:t>
      </w:r>
      <w:r>
        <w:tab/>
      </w:r>
      <w:r>
        <w:tab/>
      </w:r>
      <w:r>
        <w:tab/>
      </w:r>
      <w:r>
        <w:tab/>
      </w:r>
      <w:r>
        <w:rPr>
          <w:rFonts w:hint="cs"/>
          <w:b/>
          <w:bCs/>
          <w:rtl/>
        </w:rPr>
        <w:t>מיקי לוי</w:t>
      </w:r>
      <w:r>
        <w:br/>
      </w:r>
      <w:r>
        <w:rPr>
          <w:rFonts w:hint="cs"/>
          <w:b/>
          <w:bCs/>
          <w:rtl/>
        </w:rPr>
        <w:t xml:space="preserve"> </w:t>
      </w:r>
      <w:r>
        <w:tab/>
      </w:r>
      <w:r>
        <w:tab/>
      </w:r>
      <w:r>
        <w:tab/>
      </w:r>
      <w:r>
        <w:tab/>
      </w:r>
      <w:r>
        <w:rPr>
          <w:rFonts w:hint="cs"/>
          <w:b/>
          <w:bCs/>
          <w:rtl/>
        </w:rPr>
        <w:t>רועי פולקמן</w:t>
      </w:r>
      <w:r>
        <w:br/>
      </w:r>
      <w:r>
        <w:rPr>
          <w:rFonts w:hint="cs"/>
          <w:b/>
          <w:bCs/>
          <w:rtl/>
        </w:rPr>
        <w:t xml:space="preserve"> </w:t>
      </w:r>
      <w:r>
        <w:tab/>
      </w:r>
      <w:r>
        <w:tab/>
      </w:r>
      <w:r>
        <w:tab/>
      </w:r>
      <w:r>
        <w:tab/>
      </w:r>
      <w:r>
        <w:rPr>
          <w:rFonts w:hint="cs"/>
          <w:b/>
          <w:bCs/>
          <w:rtl/>
        </w:rPr>
        <w:t>עודד פורר</w:t>
      </w:r>
      <w:bookmarkEnd w:id="3"/>
    </w:p>
    <w:p w14:paraId="7F6961AA" w14:textId="39F9D96B" w:rsidR="00E13C27" w:rsidRPr="00CF1AA2" w:rsidRDefault="007D585A" w:rsidP="0036422C">
      <w:pPr>
        <w:pStyle w:val="David"/>
        <w:spacing w:before="0" w:line="360" w:lineRule="auto"/>
        <w:ind w:left="3544"/>
        <w:rPr>
          <w:b/>
          <w:bCs/>
          <w:sz w:val="16"/>
          <w:szCs w:val="16"/>
          <w:rtl/>
        </w:rPr>
      </w:pPr>
      <w:bookmarkStart w:id="4" w:name="LGS_Join_List"/>
      <w:r>
        <w:rPr>
          <w:rtl/>
        </w:rPr>
        <w:t xml:space="preserve"> </w:t>
      </w:r>
      <w:bookmarkEnd w:id="4"/>
      <w:r w:rsidR="002200A1" w:rsidRPr="00CF1AA2">
        <w:rPr>
          <w:rFonts w:hint="cs"/>
          <w:rtl/>
        </w:rPr>
        <w:tab/>
      </w:r>
      <w:bookmarkStart w:id="5" w:name="LGS_PM_NamesJoin"/>
      <w:r>
        <w:rPr>
          <w:rFonts w:hint="cs"/>
          <w:rtl/>
        </w:rPr>
        <w:t xml:space="preserve"> </w:t>
      </w:r>
      <w:bookmarkEnd w:id="5"/>
    </w:p>
    <w:p w14:paraId="34DB4103" w14:textId="77777777" w:rsidR="00904591" w:rsidRPr="00904591" w:rsidRDefault="00266D86" w:rsidP="0036422C">
      <w:pPr>
        <w:pStyle w:val="David"/>
        <w:spacing w:before="0" w:line="360" w:lineRule="auto"/>
        <w:ind w:left="3544"/>
        <w:rPr>
          <w:sz w:val="4"/>
          <w:szCs w:val="4"/>
          <w:rtl/>
        </w:rPr>
      </w:pPr>
      <w:r>
        <w:t>____</w:t>
      </w:r>
      <w:r w:rsidR="00E374F2">
        <w:t>__</w:t>
      </w:r>
      <w:r>
        <w:t>________________________________________</w:t>
      </w:r>
      <w:r w:rsidR="00E06736" w:rsidRPr="00E06736">
        <w:tab/>
      </w:r>
      <w:r w:rsidR="00E13C27" w:rsidRPr="00E06736">
        <w:rPr>
          <w:rFonts w:hint="cs"/>
          <w:rtl/>
        </w:rPr>
        <w:tab/>
      </w:r>
      <w:r w:rsidR="00E13C27" w:rsidRPr="00E06736">
        <w:rPr>
          <w:rFonts w:hint="cs"/>
          <w:rtl/>
        </w:rPr>
        <w:tab/>
      </w:r>
      <w:r w:rsidR="00E13C27" w:rsidRPr="00E06736">
        <w:rPr>
          <w:rFonts w:hint="cs"/>
          <w:rtl/>
        </w:rPr>
        <w:tab/>
      </w:r>
      <w:r w:rsidR="00904591">
        <w:t xml:space="preserve">           </w:t>
      </w:r>
    </w:p>
    <w:p w14:paraId="7F6961AB" w14:textId="256138AA" w:rsidR="00E13C27" w:rsidRPr="00E06736" w:rsidRDefault="00904591" w:rsidP="00904591">
      <w:pPr>
        <w:pStyle w:val="David"/>
        <w:spacing w:before="0" w:line="240" w:lineRule="auto"/>
        <w:ind w:left="3544"/>
        <w:rPr>
          <w:rtl/>
        </w:rPr>
      </w:pPr>
      <w:r>
        <w:t xml:space="preserve">                                            </w:t>
      </w:r>
      <w:r w:rsidR="008F1308">
        <w:t xml:space="preserve"> </w:t>
      </w:r>
      <w:bookmarkStart w:id="6" w:name="Private_Number"/>
      <w:r>
        <w:rPr>
          <w:rFonts w:hint="cs"/>
          <w:rtl/>
        </w:rPr>
        <w:t>פ/5165/20</w:t>
      </w:r>
      <w:bookmarkEnd w:id="6"/>
    </w:p>
    <w:p w14:paraId="7F6961AC" w14:textId="77777777" w:rsidR="00E13C27" w:rsidRDefault="00E13C27" w:rsidP="00E13C27">
      <w:pPr>
        <w:spacing w:before="0" w:line="360" w:lineRule="auto"/>
        <w:ind w:left="2880" w:firstLine="720"/>
        <w:rPr>
          <w:rFonts w:cs="David"/>
          <w:sz w:val="26"/>
          <w:szCs w:val="26"/>
          <w:rtl/>
        </w:rPr>
      </w:pPr>
    </w:p>
    <w:p w14:paraId="7F6961AE" w14:textId="6CA372DB" w:rsidR="00E13C27" w:rsidRDefault="00A443CF" w:rsidP="00F07716">
      <w:pPr>
        <w:pStyle w:val="HeadHatzaotHok"/>
        <w:rPr>
          <w:rtl/>
        </w:rPr>
      </w:pPr>
      <w:bookmarkStart w:id="7" w:name="LGS_Subject"/>
      <w:r>
        <w:rPr>
          <w:rFonts w:hint="cs"/>
          <w:rtl/>
        </w:rPr>
        <w:t>הצעת חוק נכי רדיפות הנאצים (תיקון מס' 19) (תיקון – השוואת זכויות בני זוג של נכים שנפטרו), התשע"ח–2018</w:t>
      </w:r>
      <w:bookmarkEnd w:id="7"/>
    </w:p>
    <w:tbl>
      <w:tblPr>
        <w:bidiVisual/>
        <w:tblW w:w="9639" w:type="dxa"/>
        <w:tblLayout w:type="fixed"/>
        <w:tblCellMar>
          <w:top w:w="57" w:type="dxa"/>
          <w:left w:w="0" w:type="dxa"/>
          <w:bottom w:w="57" w:type="dxa"/>
          <w:right w:w="0" w:type="dxa"/>
        </w:tblCellMar>
        <w:tblLook w:val="0000" w:firstRow="0" w:lastRow="0" w:firstColumn="0" w:lastColumn="0" w:noHBand="0" w:noVBand="0"/>
      </w:tblPr>
      <w:tblGrid>
        <w:gridCol w:w="1872"/>
        <w:gridCol w:w="624"/>
        <w:gridCol w:w="7143"/>
      </w:tblGrid>
      <w:tr w:rsidR="009E2D90" w:rsidRPr="007F2993" w14:paraId="73784009" w14:textId="77777777" w:rsidTr="00AD7741">
        <w:trPr>
          <w:cantSplit/>
        </w:trPr>
        <w:tc>
          <w:tcPr>
            <w:tcW w:w="1872" w:type="dxa"/>
            <w:shd w:val="clear" w:color="auto" w:fill="auto"/>
            <w:tcMar>
              <w:top w:w="91" w:type="dxa"/>
              <w:left w:w="0" w:type="dxa"/>
              <w:bottom w:w="91" w:type="dxa"/>
              <w:right w:w="0" w:type="dxa"/>
            </w:tcMar>
          </w:tcPr>
          <w:p w14:paraId="5A5CBF48" w14:textId="77777777" w:rsidR="009E2D90" w:rsidRPr="00623CB2" w:rsidRDefault="009E2D90" w:rsidP="00AD7741">
            <w:pPr>
              <w:pStyle w:val="TableSideHeading"/>
              <w:rPr>
                <w:rtl/>
              </w:rPr>
            </w:pPr>
            <w:r>
              <w:rPr>
                <w:rFonts w:hint="cs"/>
                <w:rtl/>
              </w:rPr>
              <w:t>תיקון סעיף 12</w:t>
            </w:r>
          </w:p>
        </w:tc>
        <w:tc>
          <w:tcPr>
            <w:tcW w:w="624" w:type="dxa"/>
            <w:shd w:val="clear" w:color="auto" w:fill="auto"/>
            <w:tcMar>
              <w:top w:w="91" w:type="dxa"/>
              <w:left w:w="0" w:type="dxa"/>
              <w:bottom w:w="91" w:type="dxa"/>
              <w:right w:w="0" w:type="dxa"/>
            </w:tcMar>
          </w:tcPr>
          <w:p w14:paraId="33232112" w14:textId="77777777" w:rsidR="009E2D90" w:rsidRPr="006F0113" w:rsidRDefault="009E2D90" w:rsidP="00AD7741">
            <w:pPr>
              <w:pStyle w:val="TableText"/>
              <w:rPr>
                <w:sz w:val="24"/>
                <w:szCs w:val="24"/>
                <w:rtl/>
              </w:rPr>
            </w:pPr>
            <w:r>
              <w:rPr>
                <w:rFonts w:hint="cs"/>
                <w:rtl/>
              </w:rPr>
              <w:t>1.</w:t>
            </w:r>
          </w:p>
        </w:tc>
        <w:tc>
          <w:tcPr>
            <w:tcW w:w="7143" w:type="dxa"/>
            <w:shd w:val="clear" w:color="auto" w:fill="auto"/>
            <w:tcMar>
              <w:top w:w="91" w:type="dxa"/>
              <w:left w:w="0" w:type="dxa"/>
              <w:bottom w:w="91" w:type="dxa"/>
              <w:right w:w="0" w:type="dxa"/>
            </w:tcMar>
          </w:tcPr>
          <w:p w14:paraId="65B8894D" w14:textId="6D5D160D" w:rsidR="009E2D90" w:rsidRPr="006F0113" w:rsidRDefault="009E2D90" w:rsidP="009B6D91">
            <w:pPr>
              <w:pStyle w:val="TableBlock"/>
              <w:rPr>
                <w:rtl/>
              </w:rPr>
            </w:pPr>
            <w:r w:rsidRPr="006F0113">
              <w:rPr>
                <w:rFonts w:hint="cs"/>
                <w:rtl/>
              </w:rPr>
              <w:t>בחוק נכי רדיפות הנאצים (תיקון מס' 19), התשע"ד</w:t>
            </w:r>
            <w:r w:rsidRPr="006F0113">
              <w:rPr>
                <w:rFonts w:hint="eastAsia"/>
                <w:rtl/>
              </w:rPr>
              <w:t>–</w:t>
            </w:r>
            <w:r w:rsidRPr="006F0113">
              <w:rPr>
                <w:rFonts w:hint="cs"/>
                <w:rtl/>
              </w:rPr>
              <w:t>2014</w:t>
            </w:r>
            <w:r w:rsidRPr="006F0113">
              <w:rPr>
                <w:rStyle w:val="a6"/>
                <w:sz w:val="24"/>
                <w:szCs w:val="24"/>
                <w:rtl/>
              </w:rPr>
              <w:footnoteReference w:id="2"/>
            </w:r>
            <w:r>
              <w:rPr>
                <w:rFonts w:hint="cs"/>
                <w:rtl/>
              </w:rPr>
              <w:t xml:space="preserve"> (להלן </w:t>
            </w:r>
            <w:r w:rsidR="009B6D91">
              <w:rPr>
                <w:rFonts w:hint="eastAsia"/>
                <w:rtl/>
              </w:rPr>
              <w:t>–</w:t>
            </w:r>
            <w:r>
              <w:rPr>
                <w:rFonts w:hint="cs"/>
                <w:rtl/>
              </w:rPr>
              <w:t xml:space="preserve"> החוק העיקרי)</w:t>
            </w:r>
            <w:r w:rsidRPr="006F0113">
              <w:rPr>
                <w:rFonts w:hint="cs"/>
                <w:rtl/>
              </w:rPr>
              <w:t xml:space="preserve">, בסעיף 12 </w:t>
            </w:r>
            <w:r w:rsidRPr="006F0113">
              <w:rPr>
                <w:rFonts w:hint="eastAsia"/>
                <w:rtl/>
              </w:rPr>
              <w:t>–</w:t>
            </w:r>
            <w:r>
              <w:rPr>
                <w:rtl/>
              </w:rPr>
              <w:t xml:space="preserve"> </w:t>
            </w:r>
          </w:p>
        </w:tc>
      </w:tr>
      <w:tr w:rsidR="009E2D90" w:rsidRPr="007F2993" w14:paraId="469E1CE6" w14:textId="77777777" w:rsidTr="00AD7741">
        <w:trPr>
          <w:cantSplit/>
        </w:trPr>
        <w:tc>
          <w:tcPr>
            <w:tcW w:w="1872" w:type="dxa"/>
            <w:shd w:val="clear" w:color="auto" w:fill="auto"/>
            <w:tcMar>
              <w:top w:w="91" w:type="dxa"/>
              <w:left w:w="0" w:type="dxa"/>
              <w:bottom w:w="91" w:type="dxa"/>
              <w:right w:w="0" w:type="dxa"/>
            </w:tcMar>
          </w:tcPr>
          <w:p w14:paraId="673D9D24" w14:textId="77777777" w:rsidR="009E2D90" w:rsidRPr="006F0113" w:rsidRDefault="009E2D90" w:rsidP="00AD7741">
            <w:pPr>
              <w:pStyle w:val="TableSideHeading"/>
              <w:ind w:right="0"/>
              <w:rPr>
                <w:sz w:val="24"/>
                <w:szCs w:val="24"/>
                <w:rtl/>
              </w:rPr>
            </w:pPr>
          </w:p>
        </w:tc>
        <w:tc>
          <w:tcPr>
            <w:tcW w:w="624" w:type="dxa"/>
            <w:shd w:val="clear" w:color="auto" w:fill="auto"/>
            <w:tcMar>
              <w:top w:w="91" w:type="dxa"/>
              <w:left w:w="0" w:type="dxa"/>
              <w:bottom w:w="91" w:type="dxa"/>
              <w:right w:w="0" w:type="dxa"/>
            </w:tcMar>
          </w:tcPr>
          <w:p w14:paraId="41C2624B" w14:textId="77777777" w:rsidR="009E2D90" w:rsidRPr="006F0113" w:rsidRDefault="009E2D90" w:rsidP="00AD7741">
            <w:pPr>
              <w:pStyle w:val="TableText"/>
              <w:ind w:right="0"/>
              <w:rPr>
                <w:sz w:val="24"/>
                <w:szCs w:val="24"/>
                <w:rtl/>
              </w:rPr>
            </w:pPr>
          </w:p>
        </w:tc>
        <w:tc>
          <w:tcPr>
            <w:tcW w:w="7143" w:type="dxa"/>
            <w:shd w:val="clear" w:color="auto" w:fill="auto"/>
            <w:tcMar>
              <w:top w:w="91" w:type="dxa"/>
              <w:left w:w="0" w:type="dxa"/>
              <w:bottom w:w="91" w:type="dxa"/>
              <w:right w:w="0" w:type="dxa"/>
            </w:tcMar>
          </w:tcPr>
          <w:p w14:paraId="5941A685" w14:textId="77777777" w:rsidR="009E2D90" w:rsidRPr="00623CB2" w:rsidRDefault="009E2D90" w:rsidP="00AD7741">
            <w:pPr>
              <w:pStyle w:val="TableBlock"/>
              <w:rPr>
                <w:rtl/>
              </w:rPr>
            </w:pPr>
            <w:r w:rsidRPr="00623CB2">
              <w:rPr>
                <w:rFonts w:hint="cs"/>
                <w:rtl/>
              </w:rPr>
              <w:t>(1)</w:t>
            </w:r>
            <w:r w:rsidRPr="00623CB2">
              <w:rPr>
                <w:rtl/>
              </w:rPr>
              <w:tab/>
            </w:r>
            <w:r w:rsidRPr="00623CB2">
              <w:rPr>
                <w:rFonts w:hint="cs"/>
                <w:rtl/>
              </w:rPr>
              <w:t xml:space="preserve">בסעיף קטן (ג), המילים "בתקופה שתחילתה 36 חודשים" </w:t>
            </w:r>
            <w:r w:rsidRPr="00623CB2">
              <w:rPr>
                <w:rtl/>
              </w:rPr>
              <w:t>–</w:t>
            </w:r>
            <w:r w:rsidRPr="00623CB2">
              <w:rPr>
                <w:rFonts w:hint="cs"/>
                <w:rtl/>
              </w:rPr>
              <w:t xml:space="preserve"> יימחקו;</w:t>
            </w:r>
          </w:p>
        </w:tc>
      </w:tr>
      <w:tr w:rsidR="009E2D90" w:rsidRPr="007F2993" w14:paraId="4FDA3490" w14:textId="77777777" w:rsidTr="00AD7741">
        <w:trPr>
          <w:cantSplit/>
        </w:trPr>
        <w:tc>
          <w:tcPr>
            <w:tcW w:w="1872" w:type="dxa"/>
            <w:shd w:val="clear" w:color="auto" w:fill="auto"/>
            <w:tcMar>
              <w:top w:w="91" w:type="dxa"/>
              <w:left w:w="0" w:type="dxa"/>
              <w:bottom w:w="91" w:type="dxa"/>
              <w:right w:w="0" w:type="dxa"/>
            </w:tcMar>
          </w:tcPr>
          <w:p w14:paraId="3AC78290" w14:textId="77777777" w:rsidR="009E2D90" w:rsidRPr="006F0113" w:rsidRDefault="009E2D90" w:rsidP="00AD7741">
            <w:pPr>
              <w:pStyle w:val="TableSideHeading"/>
              <w:ind w:right="0"/>
              <w:rPr>
                <w:sz w:val="24"/>
                <w:szCs w:val="24"/>
                <w:rtl/>
              </w:rPr>
            </w:pPr>
          </w:p>
        </w:tc>
        <w:tc>
          <w:tcPr>
            <w:tcW w:w="624" w:type="dxa"/>
            <w:shd w:val="clear" w:color="auto" w:fill="auto"/>
            <w:tcMar>
              <w:top w:w="91" w:type="dxa"/>
              <w:left w:w="0" w:type="dxa"/>
              <w:bottom w:w="91" w:type="dxa"/>
              <w:right w:w="0" w:type="dxa"/>
            </w:tcMar>
          </w:tcPr>
          <w:p w14:paraId="12E8B471" w14:textId="77777777" w:rsidR="009E2D90" w:rsidRPr="006F0113" w:rsidRDefault="009E2D90" w:rsidP="00AD7741">
            <w:pPr>
              <w:pStyle w:val="TableText"/>
              <w:ind w:right="0"/>
              <w:rPr>
                <w:sz w:val="24"/>
                <w:szCs w:val="24"/>
                <w:rtl/>
              </w:rPr>
            </w:pPr>
          </w:p>
        </w:tc>
        <w:tc>
          <w:tcPr>
            <w:tcW w:w="7143" w:type="dxa"/>
            <w:shd w:val="clear" w:color="auto" w:fill="auto"/>
            <w:tcMar>
              <w:top w:w="91" w:type="dxa"/>
              <w:left w:w="0" w:type="dxa"/>
              <w:bottom w:w="91" w:type="dxa"/>
              <w:right w:w="0" w:type="dxa"/>
            </w:tcMar>
          </w:tcPr>
          <w:p w14:paraId="045F1CA2" w14:textId="5390818B" w:rsidR="009E2D90" w:rsidRPr="00623CB2" w:rsidRDefault="009E2D90" w:rsidP="00F07716">
            <w:pPr>
              <w:pStyle w:val="TableBlock"/>
              <w:rPr>
                <w:rtl/>
              </w:rPr>
            </w:pPr>
            <w:r w:rsidRPr="00623CB2">
              <w:rPr>
                <w:rFonts w:hint="cs"/>
                <w:rtl/>
              </w:rPr>
              <w:t>(2)</w:t>
            </w:r>
            <w:r w:rsidRPr="00623CB2">
              <w:rPr>
                <w:rtl/>
              </w:rPr>
              <w:tab/>
            </w:r>
            <w:r w:rsidRPr="00623CB2">
              <w:rPr>
                <w:rFonts w:hint="cs"/>
                <w:rtl/>
              </w:rPr>
              <w:t>בסעיף קטן (ד), במקום "של כל שנה" יבוא "בשנת 2017"</w:t>
            </w:r>
            <w:r w:rsidR="00F07716">
              <w:rPr>
                <w:rFonts w:hint="cs"/>
                <w:rtl/>
              </w:rPr>
              <w:t>.</w:t>
            </w:r>
          </w:p>
        </w:tc>
      </w:tr>
      <w:tr w:rsidR="009E2D90" w14:paraId="56B948E3" w14:textId="77777777" w:rsidTr="00AD7741">
        <w:tblPrEx>
          <w:tblLook w:val="01E0" w:firstRow="1" w:lastRow="1" w:firstColumn="1" w:lastColumn="1" w:noHBand="0" w:noVBand="0"/>
        </w:tblPrEx>
        <w:trPr>
          <w:cantSplit/>
        </w:trPr>
        <w:tc>
          <w:tcPr>
            <w:tcW w:w="1872" w:type="dxa"/>
          </w:tcPr>
          <w:p w14:paraId="011F5D9F" w14:textId="77777777" w:rsidR="009E2D90" w:rsidRDefault="009E2D90" w:rsidP="00AD7741">
            <w:pPr>
              <w:pStyle w:val="TableSideHeading"/>
              <w:rPr>
                <w:rtl/>
              </w:rPr>
            </w:pPr>
            <w:r>
              <w:rPr>
                <w:rFonts w:hint="cs"/>
                <w:rtl/>
              </w:rPr>
              <w:t>תחולה</w:t>
            </w:r>
          </w:p>
        </w:tc>
        <w:tc>
          <w:tcPr>
            <w:tcW w:w="624" w:type="dxa"/>
          </w:tcPr>
          <w:p w14:paraId="2B57400E" w14:textId="46BA2D94" w:rsidR="009E2D90" w:rsidRDefault="009B6D91" w:rsidP="00AD7741">
            <w:pPr>
              <w:pStyle w:val="TableText"/>
              <w:rPr>
                <w:rtl/>
              </w:rPr>
            </w:pPr>
            <w:r>
              <w:rPr>
                <w:rFonts w:hint="cs"/>
                <w:rtl/>
              </w:rPr>
              <w:t>2</w:t>
            </w:r>
            <w:r w:rsidR="009E2D90">
              <w:rPr>
                <w:rFonts w:hint="cs"/>
                <w:rtl/>
              </w:rPr>
              <w:t>.</w:t>
            </w:r>
          </w:p>
        </w:tc>
        <w:tc>
          <w:tcPr>
            <w:tcW w:w="7143" w:type="dxa"/>
          </w:tcPr>
          <w:p w14:paraId="4D4121C4" w14:textId="72619B3E" w:rsidR="009E2D90" w:rsidRDefault="009E2D90" w:rsidP="009B6D91">
            <w:pPr>
              <w:pStyle w:val="TableBlock"/>
              <w:rPr>
                <w:rtl/>
              </w:rPr>
            </w:pPr>
            <w:r>
              <w:rPr>
                <w:rFonts w:hint="cs"/>
                <w:rtl/>
              </w:rPr>
              <w:t>(א)</w:t>
            </w:r>
            <w:r>
              <w:rPr>
                <w:rtl/>
              </w:rPr>
              <w:tab/>
            </w:r>
            <w:r w:rsidRPr="00926B97">
              <w:rPr>
                <w:rFonts w:hint="cs"/>
                <w:rtl/>
              </w:rPr>
              <w:t xml:space="preserve">הוראות חוק זה יחולו על תשלומים לפי סעיף </w:t>
            </w:r>
            <w:r w:rsidR="009B6D91">
              <w:rPr>
                <w:rFonts w:hint="cs"/>
                <w:rtl/>
              </w:rPr>
              <w:t>12</w:t>
            </w:r>
            <w:r w:rsidRPr="00926B97">
              <w:rPr>
                <w:rFonts w:hint="cs"/>
                <w:rtl/>
              </w:rPr>
              <w:t xml:space="preserve"> לחוק העיקרי, כנוסח</w:t>
            </w:r>
            <w:r>
              <w:rPr>
                <w:rFonts w:hint="cs"/>
                <w:rtl/>
              </w:rPr>
              <w:t>ו</w:t>
            </w:r>
            <w:r w:rsidRPr="00926B97">
              <w:rPr>
                <w:rFonts w:hint="cs"/>
                <w:rtl/>
              </w:rPr>
              <w:t xml:space="preserve"> בחוק זה, שמשתלמים מיום </w:t>
            </w:r>
            <w:r w:rsidR="009B6D91">
              <w:rPr>
                <w:rFonts w:hint="cs"/>
                <w:rtl/>
              </w:rPr>
              <w:t xml:space="preserve">תחילתו של חוק זה (להלן </w:t>
            </w:r>
            <w:r w:rsidR="009B6D91">
              <w:rPr>
                <w:rtl/>
              </w:rPr>
              <w:t>–</w:t>
            </w:r>
            <w:r w:rsidR="009B6D91">
              <w:rPr>
                <w:rFonts w:hint="cs"/>
                <w:rtl/>
              </w:rPr>
              <w:t xml:space="preserve"> יום התחילה)</w:t>
            </w:r>
            <w:r w:rsidRPr="00926B97">
              <w:rPr>
                <w:rFonts w:hint="cs"/>
                <w:rtl/>
              </w:rPr>
              <w:t xml:space="preserve"> ואילך.</w:t>
            </w:r>
            <w:r>
              <w:rPr>
                <w:rFonts w:hint="cs"/>
                <w:rtl/>
              </w:rPr>
              <w:t xml:space="preserve"> </w:t>
            </w:r>
          </w:p>
        </w:tc>
      </w:tr>
      <w:tr w:rsidR="009E2D90" w14:paraId="05D19816" w14:textId="77777777" w:rsidTr="00AD7741">
        <w:tblPrEx>
          <w:tblLook w:val="01E0" w:firstRow="1" w:lastRow="1" w:firstColumn="1" w:lastColumn="1" w:noHBand="0" w:noVBand="0"/>
        </w:tblPrEx>
        <w:trPr>
          <w:cantSplit/>
        </w:trPr>
        <w:tc>
          <w:tcPr>
            <w:tcW w:w="1872" w:type="dxa"/>
          </w:tcPr>
          <w:p w14:paraId="1D2E052F" w14:textId="77777777" w:rsidR="009E2D90" w:rsidRDefault="009E2D90" w:rsidP="00AD7741">
            <w:pPr>
              <w:pStyle w:val="TableSideHeading"/>
              <w:rPr>
                <w:rtl/>
              </w:rPr>
            </w:pPr>
          </w:p>
        </w:tc>
        <w:tc>
          <w:tcPr>
            <w:tcW w:w="624" w:type="dxa"/>
          </w:tcPr>
          <w:p w14:paraId="098991F4" w14:textId="77777777" w:rsidR="009E2D90" w:rsidRDefault="009E2D90" w:rsidP="00AD7741">
            <w:pPr>
              <w:pStyle w:val="TableText"/>
              <w:rPr>
                <w:rtl/>
              </w:rPr>
            </w:pPr>
          </w:p>
        </w:tc>
        <w:tc>
          <w:tcPr>
            <w:tcW w:w="7143" w:type="dxa"/>
          </w:tcPr>
          <w:p w14:paraId="7DB0E1C1" w14:textId="77777777" w:rsidR="009E2D90" w:rsidRDefault="009E2D90" w:rsidP="00AD7741">
            <w:pPr>
              <w:pStyle w:val="TableBlock"/>
              <w:rPr>
                <w:rtl/>
              </w:rPr>
            </w:pPr>
            <w:r>
              <w:rPr>
                <w:rFonts w:hint="cs"/>
                <w:rtl/>
              </w:rPr>
              <w:t>(ב)</w:t>
            </w:r>
            <w:r>
              <w:rPr>
                <w:rtl/>
              </w:rPr>
              <w:tab/>
            </w:r>
            <w:r w:rsidRPr="00623CB2">
              <w:rPr>
                <w:rtl/>
              </w:rPr>
              <w:t>לא ישולמו ולא יינתנו תשלום או הטבה לפי חוק זה בעד התקופה שקדמה ליום התחילה</w:t>
            </w:r>
            <w:r>
              <w:rPr>
                <w:rFonts w:hint="cs"/>
                <w:rtl/>
              </w:rPr>
              <w:t>.</w:t>
            </w:r>
          </w:p>
        </w:tc>
      </w:tr>
    </w:tbl>
    <w:p w14:paraId="7F6961CA" w14:textId="77777777" w:rsidR="002D1EE3" w:rsidRDefault="002D1EE3" w:rsidP="002D1EE3">
      <w:pPr>
        <w:pStyle w:val="HeadDivreiHesber"/>
        <w:rPr>
          <w:rtl/>
        </w:rPr>
      </w:pPr>
      <w:r w:rsidRPr="0027450A">
        <w:rPr>
          <w:rFonts w:hint="cs"/>
          <w:rtl/>
        </w:rPr>
        <w:t>דברי הסבר</w:t>
      </w:r>
    </w:p>
    <w:p w14:paraId="68BE5FD9" w14:textId="1B16DBF5" w:rsidR="009E2D90" w:rsidRDefault="009E2D90" w:rsidP="009E2D90">
      <w:pPr>
        <w:pStyle w:val="Hesber"/>
        <w:rPr>
          <w:rtl/>
        </w:rPr>
      </w:pPr>
      <w:r>
        <w:rPr>
          <w:rFonts w:hint="cs"/>
          <w:rtl/>
        </w:rPr>
        <w:t>עד שנת 2014 קבע חוק נכי רדיפות הנאצים, התשי"ז</w:t>
      </w:r>
      <w:r>
        <w:rPr>
          <w:rFonts w:hint="eastAsia"/>
          <w:rtl/>
        </w:rPr>
        <w:t>–</w:t>
      </w:r>
      <w:r>
        <w:rPr>
          <w:rFonts w:hint="cs"/>
          <w:rtl/>
        </w:rPr>
        <w:t xml:space="preserve">1957 (להלן </w:t>
      </w:r>
      <w:r>
        <w:rPr>
          <w:rtl/>
        </w:rPr>
        <w:t>–</w:t>
      </w:r>
      <w:r>
        <w:rPr>
          <w:rFonts w:hint="cs"/>
          <w:rtl/>
        </w:rPr>
        <w:t xml:space="preserve"> החוק)</w:t>
      </w:r>
      <w:r w:rsidR="00F07716">
        <w:rPr>
          <w:rFonts w:hint="cs"/>
          <w:rtl/>
        </w:rPr>
        <w:t>,</w:t>
      </w:r>
      <w:r>
        <w:rPr>
          <w:rFonts w:hint="cs"/>
          <w:rtl/>
        </w:rPr>
        <w:t xml:space="preserve"> שבן זוגו של נכה שנפטר היה זכאי לתגמול של הנכה במשך תקופה של 36 חודשים לאחר פטירת הנכה. בשנת 2014 במסגרת חוק נכי רדיפות הנאצים (תיקון מס' 19), התשע"ד</w:t>
      </w:r>
      <w:r>
        <w:rPr>
          <w:rFonts w:hint="eastAsia"/>
          <w:rtl/>
        </w:rPr>
        <w:t>–</w:t>
      </w:r>
      <w:r>
        <w:rPr>
          <w:rFonts w:hint="cs"/>
          <w:rtl/>
        </w:rPr>
        <w:t xml:space="preserve">2014 (להלן </w:t>
      </w:r>
      <w:r>
        <w:rPr>
          <w:rFonts w:hint="eastAsia"/>
          <w:rtl/>
        </w:rPr>
        <w:t>–</w:t>
      </w:r>
      <w:r>
        <w:rPr>
          <w:rFonts w:hint="cs"/>
          <w:rtl/>
        </w:rPr>
        <w:t xml:space="preserve"> תיקון 19)</w:t>
      </w:r>
      <w:r w:rsidR="00F07716">
        <w:rPr>
          <w:rFonts w:hint="cs"/>
          <w:rtl/>
        </w:rPr>
        <w:t>,</w:t>
      </w:r>
      <w:r>
        <w:rPr>
          <w:rFonts w:hint="cs"/>
          <w:rtl/>
        </w:rPr>
        <w:t xml:space="preserve"> תוקן החוק, כך שלאחר 36 החודשים יקבל בן זוגו של הנכה קצבה חודשית בסכום שלא יפחת מ-2,000 שקלים חדשים, כל עוד בן הזוג לא נישא. בתיקון 19 נקבע שהתיקון יחול רק ביחס לבני זוג שהתאלמנו מחודש יוני 2011 ואילך. תיקון 19 יצר הבחנה בין שתי קבוצות שלמעט מועד פטירת הנכה </w:t>
      </w:r>
      <w:r>
        <w:rPr>
          <w:rtl/>
        </w:rPr>
        <w:t>–</w:t>
      </w:r>
      <w:r>
        <w:rPr>
          <w:rFonts w:hint="cs"/>
          <w:rtl/>
        </w:rPr>
        <w:t xml:space="preserve"> יתר הנתונים הם זהים. </w:t>
      </w:r>
    </w:p>
    <w:p w14:paraId="6A6FFEE4" w14:textId="1F20D7FA" w:rsidR="009E2D90" w:rsidRDefault="009E2D90" w:rsidP="00F07716">
      <w:pPr>
        <w:pStyle w:val="Hesber"/>
        <w:rPr>
          <w:rtl/>
        </w:rPr>
      </w:pPr>
      <w:r>
        <w:rPr>
          <w:rFonts w:hint="cs"/>
          <w:rtl/>
        </w:rPr>
        <w:t>בעקבות פניות של בני זוג של נכים שנפטרו לפני יוני 2011, תיקנה הכנסת את תיקון 19 במסגרת חוק ההתייעלות הכלכלית (תיקוני חקיקה ליישום המדיניות הכלכלית לשנות התקציב 2017 ו-2018), התשע"ז</w:t>
      </w:r>
      <w:r>
        <w:rPr>
          <w:rFonts w:hint="eastAsia"/>
          <w:rtl/>
        </w:rPr>
        <w:t>–</w:t>
      </w:r>
      <w:r>
        <w:rPr>
          <w:rFonts w:hint="cs"/>
          <w:rtl/>
        </w:rPr>
        <w:lastRenderedPageBreak/>
        <w:t xml:space="preserve">2016 (להלן </w:t>
      </w:r>
      <w:r>
        <w:rPr>
          <w:rFonts w:hint="eastAsia"/>
          <w:rtl/>
        </w:rPr>
        <w:t>–</w:t>
      </w:r>
      <w:r>
        <w:rPr>
          <w:rFonts w:hint="cs"/>
          <w:rtl/>
        </w:rPr>
        <w:t xml:space="preserve"> חוק ההתייעלות) כ</w:t>
      </w:r>
      <w:r w:rsidR="00F07716">
        <w:rPr>
          <w:rFonts w:hint="cs"/>
          <w:rtl/>
        </w:rPr>
        <w:t>ך</w:t>
      </w:r>
      <w:r>
        <w:rPr>
          <w:rFonts w:hint="cs"/>
          <w:rtl/>
        </w:rPr>
        <w:t xml:space="preserve"> שלבני זוג של נכים שנפטרו לפני יוני 2011 ישולם מענק רבעוני בסך 2,500 שקלים חדשים</w:t>
      </w:r>
      <w:r w:rsidR="00F07716">
        <w:rPr>
          <w:rFonts w:hint="cs"/>
          <w:rtl/>
        </w:rPr>
        <w:t>.</w:t>
      </w:r>
      <w:bookmarkStart w:id="8" w:name="_GoBack"/>
      <w:bookmarkEnd w:id="8"/>
      <w:r>
        <w:rPr>
          <w:rFonts w:hint="cs"/>
          <w:rtl/>
        </w:rPr>
        <w:t xml:space="preserve"> בכך צומצמה ה</w:t>
      </w:r>
      <w:r w:rsidR="00F07716">
        <w:rPr>
          <w:rFonts w:hint="cs"/>
          <w:rtl/>
        </w:rPr>
        <w:t>ה</w:t>
      </w:r>
      <w:r>
        <w:rPr>
          <w:rFonts w:hint="cs"/>
          <w:rtl/>
        </w:rPr>
        <w:t xml:space="preserve">פליה בין קבוצות בני הזוג. </w:t>
      </w:r>
    </w:p>
    <w:p w14:paraId="659262B8" w14:textId="19C3F830" w:rsidR="009E2D90" w:rsidRDefault="009E2D90" w:rsidP="00F07716">
      <w:pPr>
        <w:pStyle w:val="Hesber"/>
        <w:rPr>
          <w:rtl/>
        </w:rPr>
      </w:pPr>
      <w:r>
        <w:rPr>
          <w:rFonts w:hint="cs"/>
          <w:rtl/>
        </w:rPr>
        <w:t xml:space="preserve">למרות התיקון שנעשה במסגרת חוק ההתייעלות, קבוצת בני הזוג של נכים שנפטרו לפני יוני 2011 הוסיפה לפנות בבקשה להשוותם לקבוצת בני הזוג של הנכים שנפטרו ביוני 2011 </w:t>
      </w:r>
      <w:r w:rsidR="00F07716">
        <w:rPr>
          <w:rFonts w:hint="cs"/>
          <w:rtl/>
        </w:rPr>
        <w:t>ואילך</w:t>
      </w:r>
      <w:r>
        <w:rPr>
          <w:rFonts w:hint="cs"/>
          <w:rtl/>
        </w:rPr>
        <w:t xml:space="preserve">, בין היתר כיוון שאין טעם מהותי אחר להבחנה בין הקבוצות מעבר למועד פטירת הנכה, </w:t>
      </w:r>
      <w:r w:rsidR="00F07716">
        <w:rPr>
          <w:rFonts w:hint="cs"/>
          <w:rtl/>
        </w:rPr>
        <w:t xml:space="preserve">ולאור </w:t>
      </w:r>
      <w:r>
        <w:rPr>
          <w:rFonts w:hint="cs"/>
          <w:rtl/>
        </w:rPr>
        <w:t xml:space="preserve">מגמת ההשוואה שנעשית בשנים האחרונות ביחס לניצולי השואה </w:t>
      </w:r>
      <w:r>
        <w:rPr>
          <w:rtl/>
        </w:rPr>
        <w:t>–</w:t>
      </w:r>
      <w:r>
        <w:rPr>
          <w:rFonts w:hint="cs"/>
          <w:rtl/>
        </w:rPr>
        <w:t xml:space="preserve"> מגמה שהתבטאה, בין היתר, בתיקון 19, וכן פסיקת בית המשפט העליון ביחס לבני זוג של נרדפים לפי חוק הטבות לניצולי שואה, התשס"ז</w:t>
      </w:r>
      <w:r>
        <w:rPr>
          <w:rFonts w:hint="eastAsia"/>
          <w:rtl/>
        </w:rPr>
        <w:t>–</w:t>
      </w:r>
      <w:r>
        <w:rPr>
          <w:rFonts w:hint="cs"/>
          <w:rtl/>
        </w:rPr>
        <w:t>2007</w:t>
      </w:r>
      <w:r w:rsidR="00F07716">
        <w:rPr>
          <w:rFonts w:hint="cs"/>
          <w:rtl/>
        </w:rPr>
        <w:t>,</w:t>
      </w:r>
      <w:r>
        <w:rPr>
          <w:rFonts w:hint="cs"/>
          <w:rtl/>
        </w:rPr>
        <w:t xml:space="preserve"> שנ</w:t>
      </w:r>
      <w:r w:rsidR="00F07716">
        <w:rPr>
          <w:rFonts w:hint="cs"/>
          <w:rtl/>
        </w:rPr>
        <w:t>פ</w:t>
      </w:r>
      <w:r>
        <w:rPr>
          <w:rFonts w:hint="cs"/>
          <w:rtl/>
        </w:rPr>
        <w:t xml:space="preserve">טרו ביוני 2011 </w:t>
      </w:r>
      <w:r w:rsidR="00F07716">
        <w:rPr>
          <w:rFonts w:hint="cs"/>
          <w:rtl/>
        </w:rPr>
        <w:t>ואילך</w:t>
      </w:r>
      <w:r>
        <w:rPr>
          <w:rFonts w:hint="cs"/>
          <w:rtl/>
        </w:rPr>
        <w:t xml:space="preserve">. </w:t>
      </w:r>
    </w:p>
    <w:p w14:paraId="3BE20A48" w14:textId="73B7C22E" w:rsidR="009E2D90" w:rsidRDefault="00F07716" w:rsidP="00F07716">
      <w:pPr>
        <w:pStyle w:val="Hesber"/>
        <w:rPr>
          <w:rtl/>
        </w:rPr>
      </w:pPr>
      <w:r>
        <w:rPr>
          <w:rFonts w:hint="cs"/>
          <w:rtl/>
        </w:rPr>
        <w:t>נוכח</w:t>
      </w:r>
      <w:r w:rsidR="009E2D90">
        <w:rPr>
          <w:rFonts w:hint="cs"/>
          <w:rtl/>
        </w:rPr>
        <w:t xml:space="preserve"> מגמות אלה, מוצע להשוות את זכותם של בני זוג של נכים שנפטרו לפני יוני 2011 לאלה שזכאים היום לגמלה לפי החוק רק בגלל שהתאלמנו ביוני 2011 </w:t>
      </w:r>
      <w:r>
        <w:rPr>
          <w:rFonts w:hint="cs"/>
          <w:rtl/>
        </w:rPr>
        <w:t>ואילך</w:t>
      </w:r>
      <w:r w:rsidR="009E2D90">
        <w:rPr>
          <w:rFonts w:hint="cs"/>
          <w:rtl/>
        </w:rPr>
        <w:t xml:space="preserve">. </w:t>
      </w:r>
    </w:p>
    <w:p w14:paraId="480144C3" w14:textId="77777777" w:rsidR="00F07716" w:rsidRDefault="00F07716" w:rsidP="00F07716">
      <w:pPr>
        <w:pStyle w:val="Hesber"/>
        <w:rPr>
          <w:rtl/>
        </w:rPr>
      </w:pPr>
    </w:p>
    <w:p w14:paraId="6249C4E9" w14:textId="77777777" w:rsidR="00F07716" w:rsidRDefault="00F07716" w:rsidP="00F07716">
      <w:pPr>
        <w:pStyle w:val="Hesber"/>
        <w:rPr>
          <w:rtl/>
        </w:rPr>
      </w:pPr>
    </w:p>
    <w:p w14:paraId="3E2532A1" w14:textId="77777777" w:rsidR="00F07716" w:rsidRPr="00D73212" w:rsidRDefault="00F07716" w:rsidP="00F07716">
      <w:pPr>
        <w:pStyle w:val="Hesber"/>
        <w:rPr>
          <w:color w:val="auto"/>
          <w:rtl/>
          <w:lang w:eastAsia="en-US"/>
        </w:rPr>
      </w:pPr>
      <w:r w:rsidRPr="00D73212">
        <w:rPr>
          <w:color w:val="auto"/>
          <w:rtl/>
          <w:lang w:eastAsia="en-US"/>
        </w:rPr>
        <w:t>---------------------------------</w:t>
      </w:r>
    </w:p>
    <w:p w14:paraId="341426BA" w14:textId="77777777" w:rsidR="00F07716" w:rsidRPr="00D73212" w:rsidRDefault="00F07716" w:rsidP="00F07716">
      <w:pPr>
        <w:pStyle w:val="Hesber"/>
        <w:rPr>
          <w:color w:val="auto"/>
          <w:rtl/>
          <w:lang w:eastAsia="en-US"/>
        </w:rPr>
      </w:pPr>
      <w:r w:rsidRPr="00D73212">
        <w:rPr>
          <w:rFonts w:hint="cs"/>
          <w:color w:val="auto"/>
          <w:rtl/>
          <w:lang w:eastAsia="en-US"/>
        </w:rPr>
        <w:t>הוגשה</w:t>
      </w:r>
      <w:r w:rsidRPr="00D73212">
        <w:rPr>
          <w:color w:val="auto"/>
          <w:rtl/>
          <w:lang w:eastAsia="en-US"/>
        </w:rPr>
        <w:t xml:space="preserve"> </w:t>
      </w:r>
      <w:r w:rsidRPr="00D73212">
        <w:rPr>
          <w:rFonts w:hint="cs"/>
          <w:color w:val="auto"/>
          <w:rtl/>
          <w:lang w:eastAsia="en-US"/>
        </w:rPr>
        <w:t>ליו</w:t>
      </w:r>
      <w:r w:rsidRPr="00D73212">
        <w:rPr>
          <w:color w:val="auto"/>
          <w:rtl/>
          <w:lang w:eastAsia="en-US"/>
        </w:rPr>
        <w:t>"</w:t>
      </w:r>
      <w:r w:rsidRPr="00D73212">
        <w:rPr>
          <w:rFonts w:hint="cs"/>
          <w:color w:val="auto"/>
          <w:rtl/>
          <w:lang w:eastAsia="en-US"/>
        </w:rPr>
        <w:t>ר</w:t>
      </w:r>
      <w:r w:rsidRPr="00D73212">
        <w:rPr>
          <w:color w:val="auto"/>
          <w:rtl/>
          <w:lang w:eastAsia="en-US"/>
        </w:rPr>
        <w:t xml:space="preserve"> </w:t>
      </w:r>
      <w:r w:rsidRPr="00D73212">
        <w:rPr>
          <w:rFonts w:hint="cs"/>
          <w:color w:val="auto"/>
          <w:rtl/>
          <w:lang w:eastAsia="en-US"/>
        </w:rPr>
        <w:t>הכנסת</w:t>
      </w:r>
      <w:r w:rsidRPr="00D73212">
        <w:rPr>
          <w:color w:val="auto"/>
          <w:rtl/>
          <w:lang w:eastAsia="en-US"/>
        </w:rPr>
        <w:t xml:space="preserve"> </w:t>
      </w:r>
      <w:r w:rsidRPr="00D73212">
        <w:rPr>
          <w:rFonts w:hint="cs"/>
          <w:color w:val="auto"/>
          <w:rtl/>
          <w:lang w:eastAsia="en-US"/>
        </w:rPr>
        <w:t>והסגנים</w:t>
      </w:r>
    </w:p>
    <w:p w14:paraId="041E8384" w14:textId="77777777" w:rsidR="00F07716" w:rsidRPr="00D73212" w:rsidRDefault="00F07716" w:rsidP="00F07716">
      <w:pPr>
        <w:pStyle w:val="Hesber"/>
        <w:rPr>
          <w:color w:val="auto"/>
          <w:rtl/>
          <w:lang w:eastAsia="en-US"/>
        </w:rPr>
      </w:pPr>
      <w:r w:rsidRPr="00D73212">
        <w:rPr>
          <w:rFonts w:hint="cs"/>
          <w:color w:val="auto"/>
          <w:rtl/>
          <w:lang w:eastAsia="en-US"/>
        </w:rPr>
        <w:t>והונחה</w:t>
      </w:r>
      <w:r w:rsidRPr="00D73212">
        <w:rPr>
          <w:color w:val="auto"/>
          <w:rtl/>
          <w:lang w:eastAsia="en-US"/>
        </w:rPr>
        <w:t xml:space="preserve"> </w:t>
      </w:r>
      <w:r w:rsidRPr="00D73212">
        <w:rPr>
          <w:rFonts w:hint="cs"/>
          <w:color w:val="auto"/>
          <w:rtl/>
          <w:lang w:eastAsia="en-US"/>
        </w:rPr>
        <w:t>על</w:t>
      </w:r>
      <w:r w:rsidRPr="00D73212">
        <w:rPr>
          <w:color w:val="auto"/>
          <w:rtl/>
          <w:lang w:eastAsia="en-US"/>
        </w:rPr>
        <w:t xml:space="preserve"> </w:t>
      </w:r>
      <w:r w:rsidRPr="00D73212">
        <w:rPr>
          <w:rFonts w:hint="cs"/>
          <w:color w:val="auto"/>
          <w:rtl/>
          <w:lang w:eastAsia="en-US"/>
        </w:rPr>
        <w:t>שולחן</w:t>
      </w:r>
      <w:r w:rsidRPr="00D73212">
        <w:rPr>
          <w:color w:val="auto"/>
          <w:rtl/>
          <w:lang w:eastAsia="en-US"/>
        </w:rPr>
        <w:t xml:space="preserve"> </w:t>
      </w:r>
      <w:r w:rsidRPr="00D73212">
        <w:rPr>
          <w:rFonts w:hint="cs"/>
          <w:color w:val="auto"/>
          <w:rtl/>
          <w:lang w:eastAsia="en-US"/>
        </w:rPr>
        <w:t>הכנסת</w:t>
      </w:r>
      <w:r w:rsidRPr="00D73212">
        <w:rPr>
          <w:color w:val="auto"/>
          <w:rtl/>
          <w:lang w:eastAsia="en-US"/>
        </w:rPr>
        <w:t xml:space="preserve"> </w:t>
      </w:r>
      <w:r w:rsidRPr="00D73212">
        <w:rPr>
          <w:rFonts w:hint="cs"/>
          <w:color w:val="auto"/>
          <w:rtl/>
          <w:lang w:eastAsia="en-US"/>
        </w:rPr>
        <w:t>ביום</w:t>
      </w:r>
    </w:p>
    <w:p w14:paraId="21A81F8B" w14:textId="77777777" w:rsidR="00F07716" w:rsidRPr="00317312" w:rsidRDefault="00F07716" w:rsidP="00F07716">
      <w:pPr>
        <w:pStyle w:val="Hesber"/>
      </w:pPr>
      <w:r>
        <w:rPr>
          <w:rFonts w:hint="cs"/>
          <w:color w:val="auto"/>
          <w:rtl/>
          <w:lang w:eastAsia="en-US"/>
        </w:rPr>
        <w:t>י"א באדר</w:t>
      </w:r>
      <w:r w:rsidRPr="00D73212">
        <w:rPr>
          <w:color w:val="auto"/>
          <w:rtl/>
          <w:lang w:eastAsia="en-US"/>
        </w:rPr>
        <w:t xml:space="preserve"> </w:t>
      </w:r>
      <w:r w:rsidRPr="00D73212">
        <w:rPr>
          <w:rFonts w:hint="cs"/>
          <w:color w:val="auto"/>
          <w:rtl/>
          <w:lang w:eastAsia="en-US"/>
        </w:rPr>
        <w:t>התשע</w:t>
      </w:r>
      <w:r w:rsidRPr="00D73212">
        <w:rPr>
          <w:color w:val="auto"/>
          <w:rtl/>
          <w:lang w:eastAsia="en-US"/>
        </w:rPr>
        <w:t>"</w:t>
      </w:r>
      <w:r>
        <w:rPr>
          <w:rFonts w:hint="cs"/>
          <w:color w:val="auto"/>
          <w:rtl/>
          <w:lang w:eastAsia="en-US"/>
        </w:rPr>
        <w:t>ח</w:t>
      </w:r>
      <w:r w:rsidRPr="00D73212">
        <w:rPr>
          <w:color w:val="auto"/>
          <w:rtl/>
          <w:lang w:eastAsia="en-US"/>
        </w:rPr>
        <w:t xml:space="preserve"> – </w:t>
      </w:r>
      <w:r>
        <w:rPr>
          <w:rFonts w:hint="cs"/>
          <w:color w:val="auto"/>
          <w:rtl/>
          <w:lang w:eastAsia="en-US"/>
        </w:rPr>
        <w:t>26.2.18</w:t>
      </w:r>
    </w:p>
    <w:p w14:paraId="7583E414" w14:textId="77777777" w:rsidR="00F07716" w:rsidRPr="00480942" w:rsidRDefault="00F07716" w:rsidP="00F07716">
      <w:pPr>
        <w:pStyle w:val="Hesber"/>
        <w:rPr>
          <w:rtl/>
        </w:rPr>
      </w:pPr>
    </w:p>
    <w:p w14:paraId="69B13309" w14:textId="77777777" w:rsidR="009E2D90" w:rsidRDefault="009E2D90" w:rsidP="009E2D90"/>
    <w:p w14:paraId="4DFFDA07" w14:textId="77777777" w:rsidR="009E2D90" w:rsidRDefault="009E2D90" w:rsidP="009E2D90"/>
    <w:p w14:paraId="7F6961CB" w14:textId="77777777" w:rsidR="00E13C27" w:rsidRPr="009E2D90" w:rsidRDefault="00E13C27" w:rsidP="00E13C27">
      <w:pPr>
        <w:pStyle w:val="Hesber"/>
        <w:rPr>
          <w:rtl/>
        </w:rPr>
      </w:pPr>
    </w:p>
    <w:sectPr w:rsidR="00E13C27" w:rsidRPr="009E2D90" w:rsidSect="001207F8">
      <w:footerReference w:type="even" r:id="rId11"/>
      <w:footerReference w:type="default" r:id="rId12"/>
      <w:pgSz w:w="11907" w:h="16840" w:code="9"/>
      <w:pgMar w:top="1134" w:right="1134" w:bottom="1134" w:left="1134" w:header="680" w:footer="680" w:gutter="0"/>
      <w:cols w:space="720"/>
      <w:noEndnote/>
      <w:titlePg/>
      <w:bidi/>
      <w:rtlGutter/>
      <w:docGrid w:linePitch="2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488A69" w14:textId="77777777" w:rsidR="00A942C1" w:rsidRDefault="00A942C1">
      <w:r>
        <w:separator/>
      </w:r>
    </w:p>
  </w:endnote>
  <w:endnote w:type="continuationSeparator" w:id="0">
    <w:p w14:paraId="318F26FB" w14:textId="77777777" w:rsidR="00A942C1" w:rsidRDefault="00A942C1">
      <w:r>
        <w:continuationSeparator/>
      </w:r>
    </w:p>
  </w:endnote>
  <w:endnote w:type="continuationNotice" w:id="1">
    <w:p w14:paraId="6BE48FD5" w14:textId="77777777" w:rsidR="00A942C1" w:rsidRDefault="00A942C1">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Hadasa Roso SL">
    <w:altName w:val="Times New Roman"/>
    <w:charset w:val="00"/>
    <w:family w:val="roman"/>
    <w:pitch w:val="variable"/>
    <w:sig w:usb0="80001827" w:usb1="5000004A" w:usb2="00000020" w:usb3="00000000" w:csb0="0000002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961D5" w14:textId="77777777" w:rsidR="002C3041" w:rsidRDefault="002C3041" w:rsidP="001207F8">
    <w:pPr>
      <w:pStyle w:val="a9"/>
      <w:framePr w:wrap="around" w:vAnchor="text" w:hAnchor="text" w:xAlign="center" w:y="1"/>
      <w:rPr>
        <w:rStyle w:val="ab"/>
      </w:rPr>
    </w:pPr>
    <w:r>
      <w:rPr>
        <w:rStyle w:val="ab"/>
        <w:rtl/>
      </w:rPr>
      <w:fldChar w:fldCharType="begin"/>
    </w:r>
    <w:r>
      <w:rPr>
        <w:rStyle w:val="ab"/>
      </w:rPr>
      <w:instrText xml:space="preserve">PAGE  </w:instrText>
    </w:r>
    <w:r>
      <w:rPr>
        <w:rStyle w:val="ab"/>
        <w:rtl/>
      </w:rPr>
      <w:fldChar w:fldCharType="end"/>
    </w:r>
  </w:p>
  <w:p w14:paraId="7F6961D6" w14:textId="77777777" w:rsidR="002C3041" w:rsidRDefault="002C3041">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961D7" w14:textId="77777777" w:rsidR="002C3041" w:rsidRDefault="002C3041" w:rsidP="001207F8">
    <w:pPr>
      <w:pStyle w:val="a9"/>
      <w:framePr w:wrap="around" w:vAnchor="text" w:hAnchor="text" w:xAlign="center" w:y="1"/>
      <w:rPr>
        <w:rStyle w:val="ab"/>
      </w:rPr>
    </w:pPr>
    <w:r>
      <w:rPr>
        <w:rStyle w:val="ab"/>
        <w:rtl/>
      </w:rPr>
      <w:fldChar w:fldCharType="begin"/>
    </w:r>
    <w:r>
      <w:rPr>
        <w:rStyle w:val="ab"/>
      </w:rPr>
      <w:instrText xml:space="preserve">PAGE  </w:instrText>
    </w:r>
    <w:r>
      <w:rPr>
        <w:rStyle w:val="ab"/>
        <w:rtl/>
      </w:rPr>
      <w:fldChar w:fldCharType="separate"/>
    </w:r>
    <w:r w:rsidR="00F07716">
      <w:rPr>
        <w:rStyle w:val="ab"/>
        <w:noProof/>
        <w:rtl/>
      </w:rPr>
      <w:t>2</w:t>
    </w:r>
    <w:r>
      <w:rPr>
        <w:rStyle w:val="ab"/>
        <w:rtl/>
      </w:rPr>
      <w:fldChar w:fldCharType="end"/>
    </w:r>
  </w:p>
  <w:p w14:paraId="7F6961D8" w14:textId="77777777" w:rsidR="002C3041" w:rsidRDefault="002C304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67B9F2" w14:textId="77777777" w:rsidR="00A942C1" w:rsidRDefault="00A942C1">
      <w:r>
        <w:separator/>
      </w:r>
    </w:p>
  </w:footnote>
  <w:footnote w:type="continuationSeparator" w:id="0">
    <w:p w14:paraId="3DB92342" w14:textId="77777777" w:rsidR="00A942C1" w:rsidRDefault="00A942C1">
      <w:r>
        <w:continuationSeparator/>
      </w:r>
    </w:p>
  </w:footnote>
  <w:footnote w:type="continuationNotice" w:id="1">
    <w:p w14:paraId="16009878" w14:textId="77777777" w:rsidR="00A942C1" w:rsidRDefault="00A942C1"/>
  </w:footnote>
  <w:footnote w:id="2">
    <w:p w14:paraId="54C437EB" w14:textId="77777777" w:rsidR="009E2D90" w:rsidRDefault="009E2D90" w:rsidP="009E2D90">
      <w:pPr>
        <w:pStyle w:val="a4"/>
      </w:pPr>
      <w:r>
        <w:rPr>
          <w:rStyle w:val="a6"/>
        </w:rPr>
        <w:footnoteRef/>
      </w:r>
      <w:r>
        <w:rPr>
          <w:rtl/>
        </w:rPr>
        <w:t xml:space="preserve"> </w:t>
      </w:r>
      <w:r>
        <w:rPr>
          <w:rFonts w:hint="cs"/>
          <w:rtl/>
        </w:rPr>
        <w:t>ס"ח התשע"ד, עמ' 570.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F6AAD9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D5CAE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7E88A7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5DA1E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A3056D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222F1D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406C9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FE925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4246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D088A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DD78F3"/>
    <w:multiLevelType w:val="hybridMultilevel"/>
    <w:tmpl w:val="9E4C4E42"/>
    <w:lvl w:ilvl="0" w:tplc="861C87C0">
      <w:start w:val="1"/>
      <w:numFmt w:val="decimal"/>
      <w:lvlText w:val="(%1)"/>
      <w:lvlJc w:val="left"/>
      <w:pPr>
        <w:tabs>
          <w:tab w:val="num" w:pos="624"/>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FB0598A"/>
    <w:multiLevelType w:val="hybridMultilevel"/>
    <w:tmpl w:val="746CCEE6"/>
    <w:lvl w:ilvl="0" w:tplc="040D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53C544D"/>
    <w:multiLevelType w:val="hybridMultilevel"/>
    <w:tmpl w:val="B170A16C"/>
    <w:lvl w:ilvl="0" w:tplc="746489A4">
      <w:start w:val="1"/>
      <w:numFmt w:val="decimal"/>
      <w:lvlText w:val="%1."/>
      <w:lvlJc w:val="left"/>
      <w:pPr>
        <w:tabs>
          <w:tab w:val="num" w:pos="0"/>
        </w:tabs>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5C858E4"/>
    <w:multiLevelType w:val="hybridMultilevel"/>
    <w:tmpl w:val="882C6ED4"/>
    <w:lvl w:ilvl="0" w:tplc="4112A21E">
      <w:start w:val="1"/>
      <w:numFmt w:val="hebrew1"/>
      <w:lvlRestart w:val="0"/>
      <w:lvlText w:val="(%1)"/>
      <w:lvlJc w:val="left"/>
      <w:pPr>
        <w:tabs>
          <w:tab w:val="num" w:pos="624"/>
        </w:tabs>
        <w:ind w:left="0" w:firstLine="0"/>
      </w:pPr>
      <w:rPr>
        <w:rFonts w:hint="default"/>
      </w:rPr>
    </w:lvl>
    <w:lvl w:ilvl="1" w:tplc="49082BE6">
      <w:start w:val="1"/>
      <w:numFmt w:val="decimal"/>
      <w:lvlRestart w:val="0"/>
      <w:lvlText w:val="(%2)"/>
      <w:lvlJc w:val="left"/>
      <w:pPr>
        <w:tabs>
          <w:tab w:val="num" w:pos="1704"/>
        </w:tabs>
        <w:ind w:left="1080" w:firstLine="0"/>
      </w:pPr>
      <w:rPr>
        <w:rFonts w:hint="default"/>
      </w:rPr>
    </w:lvl>
    <w:lvl w:ilvl="2" w:tplc="48C06176">
      <w:start w:val="1"/>
      <w:numFmt w:val="decimal"/>
      <w:lvlRestart w:val="0"/>
      <w:lvlText w:val="(%3)"/>
      <w:lvlJc w:val="left"/>
      <w:pPr>
        <w:tabs>
          <w:tab w:val="num" w:pos="2604"/>
        </w:tabs>
        <w:ind w:left="1980" w:firstLine="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riginalName" w:val="tmp482240lsCopyOriginal.docx"/>
    <w:docVar w:name="StartMode" w:val="2"/>
  </w:docVars>
  <w:rsids>
    <w:rsidRoot w:val="00DB7060"/>
    <w:rsid w:val="0000131B"/>
    <w:rsid w:val="00015B27"/>
    <w:rsid w:val="00063A3E"/>
    <w:rsid w:val="00072CAC"/>
    <w:rsid w:val="0007681A"/>
    <w:rsid w:val="000A542E"/>
    <w:rsid w:val="00102B6B"/>
    <w:rsid w:val="001052D4"/>
    <w:rsid w:val="0010644B"/>
    <w:rsid w:val="001207F8"/>
    <w:rsid w:val="00121924"/>
    <w:rsid w:val="001279A8"/>
    <w:rsid w:val="0014195F"/>
    <w:rsid w:val="00152609"/>
    <w:rsid w:val="00153E1B"/>
    <w:rsid w:val="001A0623"/>
    <w:rsid w:val="001C23B0"/>
    <w:rsid w:val="001D7AAF"/>
    <w:rsid w:val="00203A7F"/>
    <w:rsid w:val="0021633A"/>
    <w:rsid w:val="002200A1"/>
    <w:rsid w:val="002362BF"/>
    <w:rsid w:val="00241B97"/>
    <w:rsid w:val="002425D1"/>
    <w:rsid w:val="00246756"/>
    <w:rsid w:val="00251E58"/>
    <w:rsid w:val="00254605"/>
    <w:rsid w:val="00266D86"/>
    <w:rsid w:val="002728B4"/>
    <w:rsid w:val="0027600C"/>
    <w:rsid w:val="00292712"/>
    <w:rsid w:val="002A487D"/>
    <w:rsid w:val="002C2E29"/>
    <w:rsid w:val="002C3041"/>
    <w:rsid w:val="002D1EE3"/>
    <w:rsid w:val="002F1D80"/>
    <w:rsid w:val="003232A2"/>
    <w:rsid w:val="00325C14"/>
    <w:rsid w:val="0036422C"/>
    <w:rsid w:val="003710F6"/>
    <w:rsid w:val="00386E88"/>
    <w:rsid w:val="00396585"/>
    <w:rsid w:val="003D6E38"/>
    <w:rsid w:val="003D74A0"/>
    <w:rsid w:val="004033D8"/>
    <w:rsid w:val="004073F0"/>
    <w:rsid w:val="00412A7D"/>
    <w:rsid w:val="00416B4D"/>
    <w:rsid w:val="00417CFC"/>
    <w:rsid w:val="004A06DC"/>
    <w:rsid w:val="004B24ED"/>
    <w:rsid w:val="004B6625"/>
    <w:rsid w:val="004D2D82"/>
    <w:rsid w:val="004D3876"/>
    <w:rsid w:val="004E4552"/>
    <w:rsid w:val="004E6CDF"/>
    <w:rsid w:val="00553C9D"/>
    <w:rsid w:val="00562A66"/>
    <w:rsid w:val="005B064E"/>
    <w:rsid w:val="005D51AE"/>
    <w:rsid w:val="0062674B"/>
    <w:rsid w:val="006363B2"/>
    <w:rsid w:val="00644940"/>
    <w:rsid w:val="006818A9"/>
    <w:rsid w:val="006A2D81"/>
    <w:rsid w:val="006C1D0D"/>
    <w:rsid w:val="0070601E"/>
    <w:rsid w:val="00712C72"/>
    <w:rsid w:val="00735FE9"/>
    <w:rsid w:val="00763CAA"/>
    <w:rsid w:val="00765F66"/>
    <w:rsid w:val="0078664F"/>
    <w:rsid w:val="007C3FA6"/>
    <w:rsid w:val="007D585A"/>
    <w:rsid w:val="007D5A12"/>
    <w:rsid w:val="007E59F9"/>
    <w:rsid w:val="00810BCD"/>
    <w:rsid w:val="00812C98"/>
    <w:rsid w:val="00814D92"/>
    <w:rsid w:val="0083181D"/>
    <w:rsid w:val="00843EB2"/>
    <w:rsid w:val="00865572"/>
    <w:rsid w:val="00874BBC"/>
    <w:rsid w:val="00892135"/>
    <w:rsid w:val="00895449"/>
    <w:rsid w:val="00897879"/>
    <w:rsid w:val="008A6870"/>
    <w:rsid w:val="008C2DDC"/>
    <w:rsid w:val="008C7516"/>
    <w:rsid w:val="008E6EC7"/>
    <w:rsid w:val="008F0D63"/>
    <w:rsid w:val="008F1308"/>
    <w:rsid w:val="008F2C35"/>
    <w:rsid w:val="008F6665"/>
    <w:rsid w:val="00904591"/>
    <w:rsid w:val="00905E5F"/>
    <w:rsid w:val="0091204F"/>
    <w:rsid w:val="009203DB"/>
    <w:rsid w:val="00923CD4"/>
    <w:rsid w:val="00930EFE"/>
    <w:rsid w:val="00943386"/>
    <w:rsid w:val="009456B6"/>
    <w:rsid w:val="00957589"/>
    <w:rsid w:val="00966D06"/>
    <w:rsid w:val="00982412"/>
    <w:rsid w:val="00983A8D"/>
    <w:rsid w:val="009A0DB8"/>
    <w:rsid w:val="009A7257"/>
    <w:rsid w:val="009B6D91"/>
    <w:rsid w:val="009D6E0A"/>
    <w:rsid w:val="009E1E33"/>
    <w:rsid w:val="009E2D90"/>
    <w:rsid w:val="00A14672"/>
    <w:rsid w:val="00A26BD6"/>
    <w:rsid w:val="00A443CF"/>
    <w:rsid w:val="00A6611D"/>
    <w:rsid w:val="00A82CB7"/>
    <w:rsid w:val="00A942C1"/>
    <w:rsid w:val="00AA2F03"/>
    <w:rsid w:val="00AC36F7"/>
    <w:rsid w:val="00AC63A4"/>
    <w:rsid w:val="00AD239E"/>
    <w:rsid w:val="00B10265"/>
    <w:rsid w:val="00B16A99"/>
    <w:rsid w:val="00B21211"/>
    <w:rsid w:val="00B35784"/>
    <w:rsid w:val="00B733A7"/>
    <w:rsid w:val="00B75C91"/>
    <w:rsid w:val="00B975AD"/>
    <w:rsid w:val="00BC45FB"/>
    <w:rsid w:val="00BF148D"/>
    <w:rsid w:val="00C23B1A"/>
    <w:rsid w:val="00C310EB"/>
    <w:rsid w:val="00C9176A"/>
    <w:rsid w:val="00CF1AA2"/>
    <w:rsid w:val="00D17774"/>
    <w:rsid w:val="00D63620"/>
    <w:rsid w:val="00D8410D"/>
    <w:rsid w:val="00D867D7"/>
    <w:rsid w:val="00DB7060"/>
    <w:rsid w:val="00DE3153"/>
    <w:rsid w:val="00E06736"/>
    <w:rsid w:val="00E13C27"/>
    <w:rsid w:val="00E33BBD"/>
    <w:rsid w:val="00E374F2"/>
    <w:rsid w:val="00E45103"/>
    <w:rsid w:val="00E55A60"/>
    <w:rsid w:val="00E62778"/>
    <w:rsid w:val="00E63D38"/>
    <w:rsid w:val="00E665B9"/>
    <w:rsid w:val="00EA01E6"/>
    <w:rsid w:val="00EA3DE8"/>
    <w:rsid w:val="00EA758F"/>
    <w:rsid w:val="00ED4A6F"/>
    <w:rsid w:val="00EF3A3A"/>
    <w:rsid w:val="00F07716"/>
    <w:rsid w:val="00F628D6"/>
    <w:rsid w:val="00F67051"/>
    <w:rsid w:val="00F86A1E"/>
    <w:rsid w:val="00FA5E8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v:fill color="white" on="f"/>
    </o:shapedefaults>
    <o:shapelayout v:ext="edit">
      <o:idmap v:ext="edit" data="1"/>
    </o:shapelayout>
  </w:shapeDefaults>
  <w:doNotEmbedSmartTags/>
  <w:decimalSymbol w:val="."/>
  <w:listSeparator w:val=","/>
  <w14:docId w14:val="7F6961A1"/>
  <w15:docId w15:val="{E7CC2A52-7C30-40EF-A06A-B08F5CE6E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75AD"/>
    <w:pPr>
      <w:widowControl w:val="0"/>
      <w:autoSpaceDE w:val="0"/>
      <w:autoSpaceDN w:val="0"/>
      <w:bidi/>
      <w:adjustRightInd w:val="0"/>
      <w:spacing w:before="102" w:line="204" w:lineRule="atLeast"/>
      <w:ind w:firstLine="340"/>
      <w:jc w:val="both"/>
      <w:textAlignment w:val="center"/>
    </w:pPr>
    <w:rPr>
      <w:rFonts w:ascii="Hadasa Roso SL" w:hAnsi="Hadasa Roso SL" w:cs="Hadasa Roso SL"/>
      <w:color w:val="000000"/>
      <w:spacing w:val="1"/>
      <w:sz w:val="17"/>
      <w:szCs w:val="17"/>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paragraphstyle">
    <w:name w:val="[No paragraph style]"/>
    <w:rsid w:val="00943386"/>
    <w:pPr>
      <w:widowControl w:val="0"/>
      <w:autoSpaceDE w:val="0"/>
      <w:autoSpaceDN w:val="0"/>
      <w:bidi/>
      <w:adjustRightInd w:val="0"/>
      <w:snapToGrid w:val="0"/>
      <w:spacing w:line="360" w:lineRule="auto"/>
      <w:textAlignment w:val="center"/>
    </w:pPr>
    <w:rPr>
      <w:rFonts w:ascii="Arial" w:eastAsia="Arial Unicode MS" w:hAnsi="Arial" w:cs="David"/>
      <w:snapToGrid w:val="0"/>
      <w:color w:val="000000"/>
      <w:szCs w:val="26"/>
      <w:lang w:eastAsia="ja-JP"/>
    </w:rPr>
  </w:style>
  <w:style w:type="paragraph" w:customStyle="1" w:styleId="Cover1-Reshumot">
    <w:name w:val="Cover 1-Reshumot"/>
    <w:basedOn w:val="a"/>
    <w:rsid w:val="00B975AD"/>
    <w:pPr>
      <w:tabs>
        <w:tab w:val="left" w:pos="1191"/>
        <w:tab w:val="left" w:pos="1587"/>
      </w:tabs>
      <w:snapToGrid w:val="0"/>
      <w:spacing w:before="240" w:after="240" w:line="480" w:lineRule="auto"/>
      <w:ind w:firstLine="0"/>
      <w:jc w:val="center"/>
    </w:pPr>
    <w:rPr>
      <w:rFonts w:ascii="Arial" w:eastAsia="Arial Unicode MS" w:hAnsi="Arial" w:cs="David"/>
      <w:snapToGrid w:val="0"/>
      <w:spacing w:val="0"/>
      <w:sz w:val="20"/>
      <w:szCs w:val="26"/>
    </w:rPr>
  </w:style>
  <w:style w:type="paragraph" w:customStyle="1" w:styleId="Cover2-HatzaotHok">
    <w:name w:val="Cover 2-HatzaotHok"/>
    <w:basedOn w:val="Cover1-Reshumot"/>
    <w:rsid w:val="00B975AD"/>
    <w:rPr>
      <w:sz w:val="36"/>
      <w:szCs w:val="52"/>
    </w:rPr>
  </w:style>
  <w:style w:type="paragraph" w:customStyle="1" w:styleId="Cover3-Haknesset">
    <w:name w:val="Cover 3-Haknesset"/>
    <w:basedOn w:val="Cover1-Reshumot"/>
    <w:rsid w:val="00B975AD"/>
    <w:rPr>
      <w:b/>
      <w:bCs/>
      <w:spacing w:val="60"/>
    </w:rPr>
  </w:style>
  <w:style w:type="paragraph" w:customStyle="1" w:styleId="Cover4-Date">
    <w:name w:val="Cover 4-Date"/>
    <w:basedOn w:val="a"/>
    <w:rsid w:val="00B975AD"/>
    <w:pPr>
      <w:pBdr>
        <w:bottom w:val="single" w:sz="4" w:space="0" w:color="auto"/>
      </w:pBdr>
      <w:tabs>
        <w:tab w:val="center" w:pos="4820"/>
        <w:tab w:val="right" w:pos="9639"/>
      </w:tabs>
      <w:snapToGrid w:val="0"/>
      <w:spacing w:before="240" w:after="240" w:line="360" w:lineRule="auto"/>
      <w:ind w:firstLine="0"/>
      <w:jc w:val="left"/>
    </w:pPr>
    <w:rPr>
      <w:rFonts w:ascii="Arial" w:eastAsia="Arial Unicode MS" w:hAnsi="Arial" w:cs="David"/>
      <w:snapToGrid w:val="0"/>
      <w:spacing w:val="0"/>
      <w:sz w:val="20"/>
      <w:szCs w:val="26"/>
    </w:rPr>
  </w:style>
  <w:style w:type="paragraph" w:customStyle="1" w:styleId="TOC">
    <w:name w:val="TOC"/>
    <w:basedOn w:val="Noparagraphstyle"/>
    <w:rsid w:val="00943386"/>
    <w:pPr>
      <w:tabs>
        <w:tab w:val="left" w:leader="dot" w:pos="8789"/>
      </w:tabs>
      <w:spacing w:before="120"/>
      <w:ind w:left="284" w:right="284"/>
    </w:pPr>
  </w:style>
  <w:style w:type="paragraph" w:customStyle="1" w:styleId="TOCpg">
    <w:name w:val="TOC pg"/>
    <w:basedOn w:val="TOC"/>
    <w:rsid w:val="00943386"/>
    <w:pPr>
      <w:spacing w:after="120"/>
      <w:ind w:right="567"/>
      <w:jc w:val="right"/>
    </w:pPr>
  </w:style>
  <w:style w:type="paragraph" w:customStyle="1" w:styleId="HeadMitparsemetBaze">
    <w:name w:val="Head MitparsemetBaze"/>
    <w:basedOn w:val="a"/>
    <w:rsid w:val="00B975AD"/>
    <w:pPr>
      <w:keepNext/>
      <w:keepLines/>
      <w:pageBreakBefore/>
      <w:snapToGrid w:val="0"/>
      <w:spacing w:before="480" w:line="360" w:lineRule="auto"/>
      <w:ind w:firstLine="0"/>
    </w:pPr>
    <w:rPr>
      <w:rFonts w:ascii="Arial" w:eastAsia="Arial Unicode MS" w:hAnsi="Arial" w:cs="David"/>
      <w:b/>
      <w:bCs/>
      <w:snapToGrid w:val="0"/>
      <w:spacing w:val="0"/>
      <w:sz w:val="20"/>
      <w:szCs w:val="26"/>
    </w:rPr>
  </w:style>
  <w:style w:type="paragraph" w:customStyle="1" w:styleId="HeadHatzaotHok">
    <w:name w:val="Head HatzaotHok"/>
    <w:basedOn w:val="a"/>
    <w:rsid w:val="00B975AD"/>
    <w:pPr>
      <w:keepNext/>
      <w:keepLines/>
      <w:snapToGrid w:val="0"/>
      <w:spacing w:before="240" w:line="360" w:lineRule="auto"/>
      <w:ind w:firstLine="0"/>
      <w:jc w:val="center"/>
    </w:pPr>
    <w:rPr>
      <w:rFonts w:ascii="Arial" w:eastAsia="Arial Unicode MS" w:hAnsi="Arial" w:cs="David"/>
      <w:b/>
      <w:bCs/>
      <w:snapToGrid w:val="0"/>
      <w:spacing w:val="0"/>
      <w:sz w:val="20"/>
      <w:szCs w:val="26"/>
    </w:rPr>
  </w:style>
  <w:style w:type="paragraph" w:customStyle="1" w:styleId="HeadHatzaotHok4Futer">
    <w:name w:val="Head HatzaotHok4Futer"/>
    <w:basedOn w:val="HeadHatzaotHok"/>
    <w:rsid w:val="00B975AD"/>
    <w:pPr>
      <w:spacing w:before="120" w:after="120"/>
    </w:pPr>
    <w:rPr>
      <w:color w:val="FF0000"/>
      <w:w w:val="80"/>
    </w:rPr>
  </w:style>
  <w:style w:type="paragraph" w:styleId="a3">
    <w:name w:val="endnote text"/>
    <w:basedOn w:val="a"/>
    <w:semiHidden/>
    <w:rsid w:val="00B975AD"/>
    <w:pPr>
      <w:ind w:left="227" w:hanging="227"/>
    </w:pPr>
    <w:rPr>
      <w:sz w:val="14"/>
      <w:szCs w:val="22"/>
    </w:rPr>
  </w:style>
  <w:style w:type="paragraph" w:customStyle="1" w:styleId="TableText">
    <w:name w:val="Table Text"/>
    <w:basedOn w:val="a"/>
    <w:rsid w:val="00B975AD"/>
    <w:pPr>
      <w:keepLines/>
      <w:tabs>
        <w:tab w:val="left" w:pos="624"/>
        <w:tab w:val="left" w:pos="1247"/>
      </w:tabs>
      <w:snapToGrid w:val="0"/>
      <w:spacing w:before="0" w:line="360" w:lineRule="auto"/>
      <w:ind w:right="57" w:firstLine="0"/>
      <w:jc w:val="left"/>
    </w:pPr>
    <w:rPr>
      <w:rFonts w:ascii="Arial" w:eastAsia="Arial Unicode MS" w:hAnsi="Arial" w:cs="David"/>
      <w:snapToGrid w:val="0"/>
      <w:spacing w:val="0"/>
      <w:sz w:val="20"/>
      <w:szCs w:val="26"/>
    </w:rPr>
  </w:style>
  <w:style w:type="paragraph" w:customStyle="1" w:styleId="TableSideHeading">
    <w:name w:val="Table SideHeading"/>
    <w:basedOn w:val="TableText"/>
    <w:rsid w:val="00B975AD"/>
  </w:style>
  <w:style w:type="paragraph" w:customStyle="1" w:styleId="TableBlock">
    <w:name w:val="Table Block"/>
    <w:basedOn w:val="TableText"/>
    <w:rsid w:val="00B975AD"/>
    <w:pPr>
      <w:ind w:right="0"/>
      <w:jc w:val="both"/>
    </w:pPr>
  </w:style>
  <w:style w:type="paragraph" w:customStyle="1" w:styleId="TableHead">
    <w:name w:val="Table Head"/>
    <w:basedOn w:val="TableText"/>
    <w:rsid w:val="00B975AD"/>
    <w:pPr>
      <w:ind w:right="0"/>
      <w:jc w:val="center"/>
    </w:pPr>
    <w:rPr>
      <w:b/>
      <w:bCs/>
    </w:rPr>
  </w:style>
  <w:style w:type="paragraph" w:customStyle="1" w:styleId="TableText2">
    <w:name w:val="Table Text2"/>
    <w:basedOn w:val="TableText"/>
    <w:rsid w:val="00943386"/>
  </w:style>
  <w:style w:type="paragraph" w:customStyle="1" w:styleId="TableInnerSideHeading">
    <w:name w:val="Table InnerSideHeading"/>
    <w:basedOn w:val="TableSideHeading"/>
    <w:rsid w:val="00B975AD"/>
  </w:style>
  <w:style w:type="paragraph" w:customStyle="1" w:styleId="Hesber">
    <w:name w:val="Hesber"/>
    <w:basedOn w:val="a"/>
    <w:rsid w:val="00B975AD"/>
    <w:pPr>
      <w:snapToGrid w:val="0"/>
      <w:spacing w:before="0" w:line="360" w:lineRule="auto"/>
    </w:pPr>
    <w:rPr>
      <w:rFonts w:ascii="Arial" w:eastAsia="Arial Unicode MS" w:hAnsi="Arial" w:cs="David"/>
      <w:snapToGrid w:val="0"/>
      <w:spacing w:val="0"/>
      <w:sz w:val="20"/>
      <w:szCs w:val="26"/>
    </w:rPr>
  </w:style>
  <w:style w:type="paragraph" w:styleId="a4">
    <w:name w:val="footnote text"/>
    <w:basedOn w:val="a"/>
    <w:link w:val="a5"/>
    <w:autoRedefine/>
    <w:semiHidden/>
    <w:rsid w:val="00B975AD"/>
    <w:pPr>
      <w:snapToGrid w:val="0"/>
      <w:spacing w:before="0" w:line="240" w:lineRule="auto"/>
      <w:ind w:left="227" w:hanging="227"/>
      <w:jc w:val="left"/>
    </w:pPr>
    <w:rPr>
      <w:rFonts w:ascii="Arial" w:eastAsia="Arial Unicode MS" w:hAnsi="Arial" w:cs="David"/>
      <w:snapToGrid w:val="0"/>
      <w:spacing w:val="0"/>
      <w:sz w:val="14"/>
      <w:szCs w:val="20"/>
    </w:rPr>
  </w:style>
  <w:style w:type="character" w:styleId="a6">
    <w:name w:val="footnote reference"/>
    <w:aliases w:val="Footnote Reference"/>
    <w:basedOn w:val="a0"/>
    <w:semiHidden/>
    <w:rsid w:val="00B975AD"/>
    <w:rPr>
      <w:vertAlign w:val="superscript"/>
    </w:rPr>
  </w:style>
  <w:style w:type="paragraph" w:customStyle="1" w:styleId="HesberHeading">
    <w:name w:val="Hesber Heading"/>
    <w:basedOn w:val="Hesber"/>
    <w:rsid w:val="00B975AD"/>
    <w:pPr>
      <w:tabs>
        <w:tab w:val="left" w:pos="624"/>
        <w:tab w:val="left" w:pos="1247"/>
      </w:tabs>
      <w:ind w:firstLine="0"/>
    </w:pPr>
    <w:rPr>
      <w:b/>
      <w:bCs/>
    </w:rPr>
  </w:style>
  <w:style w:type="paragraph" w:customStyle="1" w:styleId="HesberWriters">
    <w:name w:val="Hesber Writers"/>
    <w:basedOn w:val="Hesber"/>
    <w:rsid w:val="00B975AD"/>
    <w:pPr>
      <w:spacing w:before="120" w:after="6000"/>
      <w:ind w:left="1418" w:firstLine="0"/>
      <w:jc w:val="right"/>
    </w:pPr>
    <w:rPr>
      <w:b/>
      <w:bCs/>
    </w:rPr>
  </w:style>
  <w:style w:type="paragraph" w:customStyle="1" w:styleId="Hesber1st">
    <w:name w:val="Hesber 1st"/>
    <w:basedOn w:val="Hesber"/>
    <w:rsid w:val="00B975AD"/>
    <w:pPr>
      <w:tabs>
        <w:tab w:val="left" w:pos="680"/>
        <w:tab w:val="left" w:pos="1020"/>
      </w:tabs>
      <w:ind w:firstLine="0"/>
    </w:pPr>
  </w:style>
  <w:style w:type="character" w:styleId="a7">
    <w:name w:val="endnote reference"/>
    <w:basedOn w:val="a0"/>
    <w:semiHidden/>
    <w:rsid w:val="00B975AD"/>
    <w:rPr>
      <w:vertAlign w:val="superscript"/>
    </w:rPr>
  </w:style>
  <w:style w:type="paragraph" w:customStyle="1" w:styleId="TableBlockOutdent">
    <w:name w:val="Table BlockOutdent"/>
    <w:basedOn w:val="TableBlock"/>
    <w:rsid w:val="00B975AD"/>
    <w:pPr>
      <w:ind w:left="624" w:hanging="624"/>
    </w:pPr>
  </w:style>
  <w:style w:type="paragraph" w:styleId="a8">
    <w:name w:val="header"/>
    <w:basedOn w:val="a"/>
    <w:rsid w:val="00B975AD"/>
    <w:pPr>
      <w:tabs>
        <w:tab w:val="center" w:pos="4153"/>
        <w:tab w:val="right" w:pos="8306"/>
      </w:tabs>
    </w:pPr>
  </w:style>
  <w:style w:type="paragraph" w:styleId="a9">
    <w:name w:val="footer"/>
    <w:basedOn w:val="a"/>
    <w:rsid w:val="00B975AD"/>
    <w:pPr>
      <w:tabs>
        <w:tab w:val="center" w:pos="4153"/>
        <w:tab w:val="right" w:pos="8306"/>
      </w:tabs>
    </w:pPr>
  </w:style>
  <w:style w:type="paragraph" w:customStyle="1" w:styleId="HeadDivreiHesber">
    <w:name w:val="Head DivreiHesber"/>
    <w:basedOn w:val="a"/>
    <w:rsid w:val="00B975AD"/>
    <w:pPr>
      <w:snapToGrid w:val="0"/>
      <w:spacing w:before="360" w:after="120" w:line="360" w:lineRule="auto"/>
      <w:ind w:firstLine="0"/>
      <w:jc w:val="center"/>
    </w:pPr>
    <w:rPr>
      <w:rFonts w:ascii="Arial" w:eastAsia="Arial Unicode MS" w:hAnsi="Arial" w:cs="David"/>
      <w:b/>
      <w:snapToGrid w:val="0"/>
      <w:spacing w:val="40"/>
      <w:sz w:val="20"/>
      <w:szCs w:val="26"/>
    </w:rPr>
  </w:style>
  <w:style w:type="paragraph" w:customStyle="1" w:styleId="Ragil">
    <w:name w:val="Ragil"/>
    <w:basedOn w:val="a"/>
    <w:rsid w:val="00B975AD"/>
    <w:pPr>
      <w:snapToGrid w:val="0"/>
      <w:spacing w:before="0" w:line="360" w:lineRule="auto"/>
      <w:jc w:val="left"/>
    </w:pPr>
    <w:rPr>
      <w:rFonts w:ascii="Arial" w:eastAsia="Arial Unicode MS" w:hAnsi="Arial" w:cs="David"/>
      <w:snapToGrid w:val="0"/>
      <w:spacing w:val="0"/>
      <w:sz w:val="20"/>
      <w:szCs w:val="26"/>
    </w:rPr>
  </w:style>
  <w:style w:type="paragraph" w:styleId="aa">
    <w:name w:val="Title"/>
    <w:basedOn w:val="a"/>
    <w:qFormat/>
    <w:rsid w:val="00943386"/>
    <w:pPr>
      <w:jc w:val="center"/>
    </w:pPr>
    <w:rPr>
      <w:rFonts w:cs="David"/>
      <w:b/>
      <w:bCs/>
      <w:sz w:val="28"/>
      <w:szCs w:val="28"/>
      <w:u w:val="single"/>
    </w:rPr>
  </w:style>
  <w:style w:type="character" w:styleId="ab">
    <w:name w:val="page number"/>
    <w:basedOn w:val="a0"/>
    <w:rsid w:val="00B975AD"/>
  </w:style>
  <w:style w:type="paragraph" w:customStyle="1" w:styleId="David">
    <w:name w:val="רגיל + (עברית ושפות אחרות) David"/>
    <w:aliases w:val="‏13 נק',מודגש,אחרי:  6 נק'"/>
    <w:basedOn w:val="a"/>
    <w:rsid w:val="001207F8"/>
    <w:pPr>
      <w:ind w:firstLine="0"/>
      <w:jc w:val="left"/>
    </w:pPr>
    <w:rPr>
      <w:rFonts w:cs="David"/>
      <w:sz w:val="26"/>
      <w:szCs w:val="26"/>
    </w:rPr>
  </w:style>
  <w:style w:type="paragraph" w:styleId="ac">
    <w:name w:val="Balloon Text"/>
    <w:basedOn w:val="a"/>
    <w:link w:val="ad"/>
    <w:semiHidden/>
    <w:unhideWhenUsed/>
    <w:rsid w:val="00325C14"/>
    <w:pPr>
      <w:spacing w:before="0" w:line="240" w:lineRule="auto"/>
    </w:pPr>
    <w:rPr>
      <w:rFonts w:ascii="Tahoma" w:hAnsi="Tahoma" w:cs="Tahoma"/>
      <w:sz w:val="16"/>
      <w:szCs w:val="16"/>
    </w:rPr>
  </w:style>
  <w:style w:type="character" w:customStyle="1" w:styleId="ad">
    <w:name w:val="טקסט בלונים תו"/>
    <w:basedOn w:val="a0"/>
    <w:link w:val="ac"/>
    <w:semiHidden/>
    <w:rsid w:val="00325C14"/>
    <w:rPr>
      <w:rFonts w:ascii="Tahoma" w:hAnsi="Tahoma" w:cs="Tahoma"/>
      <w:color w:val="000000"/>
      <w:spacing w:val="1"/>
      <w:sz w:val="16"/>
      <w:szCs w:val="16"/>
      <w:lang w:eastAsia="ja-JP"/>
    </w:rPr>
  </w:style>
  <w:style w:type="character" w:customStyle="1" w:styleId="a5">
    <w:name w:val="טקסט הערת שוליים תו"/>
    <w:basedOn w:val="a0"/>
    <w:link w:val="a4"/>
    <w:semiHidden/>
    <w:rsid w:val="009E2D90"/>
    <w:rPr>
      <w:rFonts w:ascii="Arial" w:eastAsia="Arial Unicode MS" w:hAnsi="Arial" w:cs="David"/>
      <w:snapToGrid w:val="0"/>
      <w:color w:val="000000"/>
      <w:sz w:val="1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051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386EB84DF20CE4D8D9D1A5C7A92FD24" ma:contentTypeVersion="0" ma:contentTypeDescription="Create a new document." ma:contentTypeScope="" ma:versionID="99fd2faca98684dfaf8c37f6393491f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CDC32B-DD97-493E-9196-3EF77D6F9C7D}">
  <ds:schemaRefs>
    <ds:schemaRef ds:uri="http://schemas.microsoft.com/sharepoint/v3/contenttype/forms"/>
  </ds:schemaRefs>
</ds:datastoreItem>
</file>

<file path=customXml/itemProps2.xml><?xml version="1.0" encoding="utf-8"?>
<ds:datastoreItem xmlns:ds="http://schemas.openxmlformats.org/officeDocument/2006/customXml" ds:itemID="{88F4AFE3-9455-419C-8851-785A55F44517}">
  <ds:schemaRefs>
    <ds:schemaRef ds:uri="http://purl.org/dc/terms/"/>
    <ds:schemaRef ds:uri="http://purl.org/dc/elements/1.1/"/>
    <ds:schemaRef ds:uri="http://schemas.microsoft.com/office/infopath/2007/PartnerControls"/>
    <ds:schemaRef ds:uri="http://schemas.microsoft.com/office/2006/documentManagement/types"/>
    <ds:schemaRef ds:uri="http://www.w3.org/XML/1998/namespace"/>
    <ds:schemaRef ds:uri="http://schemas.microsoft.com/office/2006/metadata/propertie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85F6E8F2-AFBD-459C-B15B-11D5626438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6216160-CBA5-4881-A58B-BCE788510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398</Words>
  <Characters>1992</Characters>
  <Application>Microsoft Office Word</Application>
  <DocSecurity>0</DocSecurity>
  <Lines>16</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רשומות</vt:lpstr>
      <vt:lpstr>רשומות</vt:lpstr>
    </vt:vector>
  </TitlesOfParts>
  <Company>Knesset</Company>
  <LinksUpToDate>false</LinksUpToDate>
  <CharactersWithSpaces>2386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רשומות</dc:title>
  <dc:creator>מיקה צור</dc:creator>
  <cp:lastModifiedBy>חנה קרליץ</cp:lastModifiedBy>
  <cp:revision>5</cp:revision>
  <cp:lastPrinted>2018-02-21T10:53:00Z</cp:lastPrinted>
  <dcterms:created xsi:type="dcterms:W3CDTF">2015-04-20T09:58:00Z</dcterms:created>
  <dcterms:modified xsi:type="dcterms:W3CDTF">2018-02-21T10:53:00Z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0x0101008386EB84DF20CE4D8D9D1A5C7A92FD24</vt:lpwstr>
  </property>
  <property fmtid="{D5CDD505-2E9C-101B-9397-08002B2CF9AE}" pid="3" name="_dlc_DocIdItemGuid">
    <vt:lpwstr>8badafff-95aa-4718-b074-a2d35988ffa8</vt:lpwstr>
  </property>
  <property fmtid="{D5CDD505-2E9C-101B-9397-08002B2CF9AE}" pid="4" name="SanhedrinDocumentType">
    <vt:r8>10</vt:r8>
  </property>
  <property fmtid="{D5CDD505-2E9C-101B-9397-08002B2CF9AE}" pid="5" name="SanhedrinItemID">
    <vt:r8>2065320</vt:r8>
  </property>
</Properties>
</file>