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2065843</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b/>
          <w:bCs/>
          <w:sz w:val="26"/>
          <w:szCs w:val="26"/>
          <w:rtl/>
        </w:rPr>
      </w:pPr>
    </w:p>
    <w:p w14:paraId="7F6961AA" w14:textId="2AAB2389" w:rsidR="00E13C27" w:rsidRPr="00CF1AA2" w:rsidRDefault="008F6665" w:rsidP="00F949A8">
      <w:pPr>
        <w:pStyle w:val="David"/>
        <w:ind w:left="3544"/>
        <w:rPr>
          <w:b/>
          <w:bCs/>
          <w:sz w:val="16"/>
          <w:szCs w:val="16"/>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יואב בן צור</w:t>
      </w:r>
      <w:r>
        <w:br/>
      </w:r>
      <w:r>
        <w:rPr>
          <w:rFonts w:hint="cs"/>
          <w:b/>
          <w:bCs/>
          <w:rtl/>
        </w:rPr>
        <w:t xml:space="preserve"> </w:t>
      </w:r>
      <w:r>
        <w:tab/>
      </w:r>
      <w:r>
        <w:tab/>
      </w:r>
      <w:r>
        <w:tab/>
      </w:r>
      <w:r>
        <w:tab/>
      </w:r>
      <w:r>
        <w:rPr>
          <w:rFonts w:hint="cs"/>
          <w:b/>
          <w:bCs/>
          <w:rtl/>
        </w:rPr>
        <w:t>משה גפני</w:t>
      </w:r>
      <w:r>
        <w:br/>
      </w:r>
      <w:r>
        <w:rPr>
          <w:rFonts w:hint="cs"/>
          <w:b/>
          <w:bCs/>
          <w:rtl/>
        </w:rPr>
        <w:t xml:space="preserve"> </w:t>
      </w:r>
      <w:r>
        <w:tab/>
      </w:r>
      <w:r>
        <w:tab/>
      </w:r>
      <w:r>
        <w:tab/>
      </w:r>
      <w:r>
        <w:tab/>
      </w:r>
      <w:r>
        <w:rPr>
          <w:rFonts w:hint="cs"/>
          <w:b/>
          <w:bCs/>
          <w:rtl/>
        </w:rPr>
        <w:t>אורי מקלב</w:t>
      </w:r>
      <w:r>
        <w:br/>
      </w:r>
      <w:r>
        <w:rPr>
          <w:rFonts w:hint="cs"/>
          <w:b/>
          <w:bCs/>
          <w:rtl/>
        </w:rPr>
        <w:t xml:space="preserve"> </w:t>
      </w:r>
      <w:r>
        <w:tab/>
      </w:r>
      <w:r>
        <w:tab/>
      </w:r>
      <w:r>
        <w:tab/>
      </w:r>
      <w:r>
        <w:tab/>
      </w:r>
      <w:r>
        <w:rPr>
          <w:rFonts w:hint="cs"/>
          <w:b/>
          <w:bCs/>
          <w:rtl/>
        </w:rPr>
        <w:t>מיכאל מלכיאלי</w:t>
      </w:r>
      <w:r>
        <w:br/>
      </w:r>
      <w:r>
        <w:rPr>
          <w:rFonts w:hint="cs"/>
          <w:b/>
          <w:bCs/>
          <w:rtl/>
        </w:rPr>
        <w:t xml:space="preserve"> </w:t>
      </w:r>
      <w:r>
        <w:tab/>
      </w:r>
      <w:r>
        <w:tab/>
      </w:r>
      <w:r>
        <w:tab/>
      </w:r>
      <w:r>
        <w:tab/>
      </w:r>
      <w:r>
        <w:rPr>
          <w:rFonts w:hint="cs"/>
          <w:b/>
          <w:bCs/>
          <w:rtl/>
        </w:rPr>
        <w:t>יעקב מרגי</w:t>
      </w:r>
      <w:r>
        <w:br/>
      </w:r>
      <w:r>
        <w:rPr>
          <w:rFonts w:hint="cs"/>
          <w:b/>
          <w:bCs/>
          <w:rtl/>
        </w:rPr>
        <w:t xml:space="preserve"> </w:t>
      </w:r>
      <w:r>
        <w:tab/>
      </w:r>
      <w:r>
        <w:tab/>
      </w:r>
      <w:r>
        <w:tab/>
      </w:r>
      <w:r>
        <w:tab/>
      </w:r>
      <w:r>
        <w:rPr>
          <w:rFonts w:hint="cs"/>
          <w:b/>
          <w:bCs/>
          <w:rtl/>
        </w:rPr>
        <w:t>מנחם אליעזר מוזס</w:t>
      </w:r>
      <w:r>
        <w:br/>
      </w:r>
      <w:r>
        <w:rPr>
          <w:rFonts w:hint="cs"/>
          <w:b/>
          <w:bCs/>
          <w:rtl/>
        </w:rPr>
        <w:t xml:space="preserve"> </w:t>
      </w:r>
      <w:r>
        <w:tab/>
      </w:r>
      <w:r>
        <w:tab/>
      </w:r>
      <w:r>
        <w:tab/>
      </w:r>
      <w:r>
        <w:tab/>
      </w:r>
      <w:r>
        <w:rPr>
          <w:rFonts w:hint="cs"/>
          <w:b/>
          <w:bCs/>
          <w:rtl/>
        </w:rPr>
        <w:t>יעקב אשר</w:t>
      </w:r>
      <w:r>
        <w:br/>
      </w:r>
      <w:r>
        <w:rPr>
          <w:rFonts w:hint="cs"/>
          <w:b/>
          <w:bCs/>
          <w:rtl/>
        </w:rPr>
        <w:t xml:space="preserve"> </w:t>
      </w:r>
      <w:r>
        <w:tab/>
      </w:r>
      <w:r>
        <w:tab/>
      </w:r>
      <w:r>
        <w:tab/>
      </w:r>
      <w:r>
        <w:tab/>
      </w:r>
      <w:r>
        <w:rPr>
          <w:rFonts w:hint="cs"/>
          <w:b/>
          <w:bCs/>
          <w:rtl/>
        </w:rPr>
        <w:t>ישראל אייכלר</w:t>
      </w:r>
      <w:r>
        <w:br/>
      </w:r>
      <w:r>
        <w:rPr>
          <w:rFonts w:hint="cs"/>
          <w:b/>
          <w:bCs/>
          <w:rtl/>
        </w:rPr>
        <w:t xml:space="preserve"> </w:t>
      </w:r>
      <w:r>
        <w:tab/>
      </w:r>
      <w:r>
        <w:tab/>
      </w:r>
      <w:r>
        <w:tab/>
      </w:r>
      <w:r>
        <w:tab/>
      </w:r>
      <w:r>
        <w:rPr>
          <w:rFonts w:hint="cs"/>
          <w:b/>
          <w:bCs/>
          <w:rtl/>
        </w:rPr>
        <w:t>יצחק וקנין</w:t>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1B978533" w14:textId="4B545988" w:rsidR="00F949A8" w:rsidRPr="00F949A8" w:rsidRDefault="00266D86" w:rsidP="00F949A8">
      <w:pPr>
        <w:pStyle w:val="David"/>
        <w:ind w:left="3600"/>
        <w:rPr>
          <w:rFonts w:hint="cs"/>
          <w:rtl/>
        </w:rPr>
      </w:pPr>
      <w:r>
        <w:t>____</w:t>
      </w:r>
      <w:r w:rsidR="00E374F2">
        <w:t>__</w:t>
      </w:r>
      <w:r>
        <w:t>________________________________________</w:t>
      </w:r>
      <w:r w:rsidR="00904591">
        <w:t xml:space="preserve"> </w:t>
      </w:r>
      <w:r w:rsidR="00F949A8">
        <w:rPr>
          <w:rFonts w:hint="cs"/>
          <w:b/>
          <w:bCs/>
          <w:rtl/>
        </w:rPr>
        <w:t xml:space="preserve"> </w:t>
      </w:r>
      <w:r w:rsidR="00F949A8">
        <w:rPr>
          <w:rFonts w:hint="cs"/>
          <w:b/>
          <w:bCs/>
          <w:rtl/>
        </w:rPr>
        <w:tab/>
      </w:r>
      <w:r w:rsidR="00F949A8">
        <w:rPr>
          <w:b/>
          <w:bCs/>
          <w:rtl/>
        </w:rPr>
        <w:tab/>
      </w:r>
      <w:r w:rsidR="00F949A8">
        <w:rPr>
          <w:b/>
          <w:bCs/>
          <w:rtl/>
        </w:rPr>
        <w:tab/>
      </w:r>
      <w:r w:rsidR="00F949A8">
        <w:rPr>
          <w:b/>
          <w:bCs/>
          <w:rtl/>
        </w:rPr>
        <w:tab/>
      </w:r>
      <w:r w:rsidR="00F949A8" w:rsidRPr="00F949A8">
        <w:rPr>
          <w:rFonts w:hint="cs"/>
          <w:rtl/>
        </w:rPr>
        <w:t>פ/5190/20</w:t>
      </w:r>
    </w:p>
    <w:p w14:paraId="568BC27B" w14:textId="77777777" w:rsidR="00F949A8" w:rsidRDefault="00F949A8" w:rsidP="009E3980">
      <w:pPr>
        <w:pStyle w:val="HeadHatzaotHok"/>
        <w:keepNext w:val="0"/>
        <w:keepLines w:val="0"/>
        <w:rPr>
          <w:rtl/>
        </w:rPr>
      </w:pPr>
    </w:p>
    <w:p w14:paraId="426509AD" w14:textId="77777777" w:rsidR="009E3980" w:rsidRDefault="009E3980" w:rsidP="00F949A8">
      <w:pPr>
        <w:pStyle w:val="HeadHatzaotHok"/>
        <w:keepNext w:val="0"/>
        <w:keepLines w:val="0"/>
        <w:spacing w:line="240" w:lineRule="auto"/>
        <w:rPr>
          <w:rtl/>
        </w:rPr>
      </w:pPr>
      <w:r>
        <w:rPr>
          <w:rtl/>
        </w:rPr>
        <w:t>הצעת חו</w:t>
      </w:r>
      <w:r>
        <w:rPr>
          <w:rFonts w:hint="cs"/>
          <w:rtl/>
        </w:rPr>
        <w:t xml:space="preserve">ק שירות ביטחון (תיקון </w:t>
      </w:r>
      <w:r>
        <w:rPr>
          <w:rFonts w:hint="eastAsia"/>
          <w:rtl/>
        </w:rPr>
        <w:t>–</w:t>
      </w:r>
      <w:r>
        <w:rPr>
          <w:rFonts w:hint="cs"/>
          <w:rtl/>
        </w:rPr>
        <w:t xml:space="preserve"> הסדר מעמדם של לומדי התורה), </w:t>
      </w:r>
      <w:proofErr w:type="spellStart"/>
      <w:r>
        <w:rPr>
          <w:rFonts w:hint="cs"/>
          <w:rtl/>
        </w:rPr>
        <w:t>התשע"ח</w:t>
      </w:r>
      <w:proofErr w:type="spellEnd"/>
      <w:r>
        <w:rPr>
          <w:rFonts w:hint="eastAsia"/>
          <w:rtl/>
        </w:rPr>
        <w:t>–</w:t>
      </w:r>
      <w:r>
        <w:rPr>
          <w:rFonts w:hint="cs"/>
          <w:rtl/>
        </w:rPr>
        <w:t xml:space="preserve">2018 </w:t>
      </w:r>
    </w:p>
    <w:p w14:paraId="1D761837" w14:textId="77777777" w:rsidR="00F949A8" w:rsidRDefault="00F949A8" w:rsidP="00F949A8">
      <w:pPr>
        <w:pStyle w:val="HeadHatzaotHok"/>
        <w:keepNext w:val="0"/>
        <w:keepLines w:val="0"/>
        <w:spacing w:line="240" w:lineRule="auto"/>
        <w:rPr>
          <w:rtl/>
        </w:rPr>
      </w:pPr>
    </w:p>
    <w:p w14:paraId="3931016C" w14:textId="77777777" w:rsidR="009E3980" w:rsidRDefault="009E3980" w:rsidP="00F949A8">
      <w:pPr>
        <w:pStyle w:val="HeadHatzaotHok"/>
        <w:keepNext w:val="0"/>
        <w:keepLines w:val="0"/>
        <w:spacing w:line="240" w:lineRule="auto"/>
        <w:jc w:val="both"/>
        <w:rPr>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4647"/>
      </w:tblGrid>
      <w:tr w:rsidR="009E3980" w14:paraId="4EFF67D5" w14:textId="77777777" w:rsidTr="004C3E44">
        <w:trPr>
          <w:cantSplit/>
        </w:trPr>
        <w:tc>
          <w:tcPr>
            <w:tcW w:w="1871" w:type="dxa"/>
          </w:tcPr>
          <w:p w14:paraId="28106254" w14:textId="77777777" w:rsidR="009E3980" w:rsidRDefault="009E3980" w:rsidP="004C3E44">
            <w:pPr>
              <w:pStyle w:val="TableSideHeading"/>
              <w:keepLines w:val="0"/>
            </w:pPr>
            <w:r>
              <w:rPr>
                <w:rFonts w:hint="cs"/>
                <w:rtl/>
              </w:rPr>
              <w:t>תיקון סעיף 26ב</w:t>
            </w:r>
          </w:p>
        </w:tc>
        <w:tc>
          <w:tcPr>
            <w:tcW w:w="624" w:type="dxa"/>
          </w:tcPr>
          <w:p w14:paraId="1798FF0B" w14:textId="77777777" w:rsidR="009E3980" w:rsidRDefault="009E3980" w:rsidP="004C3E44">
            <w:pPr>
              <w:pStyle w:val="TableText"/>
              <w:keepLines w:val="0"/>
            </w:pPr>
            <w:r>
              <w:rPr>
                <w:rFonts w:hint="cs"/>
                <w:rtl/>
              </w:rPr>
              <w:t xml:space="preserve">1. </w:t>
            </w:r>
          </w:p>
        </w:tc>
        <w:tc>
          <w:tcPr>
            <w:tcW w:w="7143" w:type="dxa"/>
            <w:gridSpan w:val="5"/>
          </w:tcPr>
          <w:p w14:paraId="637D0A42" w14:textId="77777777" w:rsidR="009E3980" w:rsidRPr="00C26069" w:rsidRDefault="009E3980" w:rsidP="004C3E44">
            <w:pPr>
              <w:pStyle w:val="TableBlock"/>
            </w:pPr>
            <w:r>
              <w:rPr>
                <w:rFonts w:hint="cs"/>
                <w:rtl/>
              </w:rPr>
              <w:t>בחוק שירות ביטחון [נוסח משולב], התשמ"ו</w:t>
            </w:r>
            <w:r>
              <w:rPr>
                <w:rFonts w:hint="eastAsia"/>
                <w:rtl/>
              </w:rPr>
              <w:t>–</w:t>
            </w:r>
            <w:r>
              <w:rPr>
                <w:rFonts w:hint="cs"/>
                <w:rtl/>
              </w:rPr>
              <w:t>1986</w:t>
            </w:r>
            <w:r>
              <w:rPr>
                <w:rStyle w:val="a7"/>
                <w:rtl/>
              </w:rPr>
              <w:footnoteReference w:id="2"/>
            </w:r>
            <w:r>
              <w:rPr>
                <w:rFonts w:hint="cs"/>
                <w:rtl/>
              </w:rPr>
              <w:t xml:space="preserve"> (להלן </w:t>
            </w:r>
            <w:r>
              <w:rPr>
                <w:rFonts w:hint="eastAsia"/>
                <w:rtl/>
              </w:rPr>
              <w:t>–</w:t>
            </w:r>
            <w:r>
              <w:rPr>
                <w:rFonts w:hint="cs"/>
                <w:rtl/>
              </w:rPr>
              <w:t xml:space="preserve"> החוק העיקרי), בסעיף 26ב </w:t>
            </w:r>
            <w:r>
              <w:rPr>
                <w:rFonts w:hint="eastAsia"/>
                <w:rtl/>
              </w:rPr>
              <w:t>–</w:t>
            </w:r>
            <w:r>
              <w:rPr>
                <w:rFonts w:hint="cs"/>
                <w:rtl/>
              </w:rPr>
              <w:t xml:space="preserve"> </w:t>
            </w:r>
          </w:p>
        </w:tc>
      </w:tr>
      <w:tr w:rsidR="009E3980" w14:paraId="1E38A3D0" w14:textId="77777777" w:rsidTr="004C3E44">
        <w:trPr>
          <w:cantSplit/>
        </w:trPr>
        <w:tc>
          <w:tcPr>
            <w:tcW w:w="1871" w:type="dxa"/>
          </w:tcPr>
          <w:p w14:paraId="373F38C3" w14:textId="77777777" w:rsidR="009E3980" w:rsidRDefault="009E3980" w:rsidP="004C3E44">
            <w:pPr>
              <w:pStyle w:val="TableSideHeading"/>
            </w:pPr>
          </w:p>
        </w:tc>
        <w:tc>
          <w:tcPr>
            <w:tcW w:w="624" w:type="dxa"/>
          </w:tcPr>
          <w:p w14:paraId="0F715747" w14:textId="77777777" w:rsidR="009E3980" w:rsidRDefault="009E3980" w:rsidP="004C3E44">
            <w:pPr>
              <w:pStyle w:val="TableText"/>
            </w:pPr>
          </w:p>
        </w:tc>
        <w:tc>
          <w:tcPr>
            <w:tcW w:w="7143" w:type="dxa"/>
            <w:gridSpan w:val="5"/>
          </w:tcPr>
          <w:p w14:paraId="0A2DE862" w14:textId="77777777" w:rsidR="009E3980" w:rsidRDefault="009E3980" w:rsidP="004C3E44">
            <w:pPr>
              <w:pStyle w:val="TableBlock"/>
            </w:pPr>
            <w:r>
              <w:rPr>
                <w:rFonts w:hint="cs"/>
                <w:rtl/>
              </w:rPr>
              <w:t>(1)</w:t>
            </w:r>
            <w:r>
              <w:rPr>
                <w:rtl/>
              </w:rPr>
              <w:tab/>
            </w:r>
            <w:r>
              <w:rPr>
                <w:rFonts w:hint="cs"/>
                <w:rtl/>
              </w:rPr>
              <w:t>אחרי ההגדרה "יום התחילה" יבוא:</w:t>
            </w:r>
          </w:p>
        </w:tc>
      </w:tr>
      <w:tr w:rsidR="009E3980" w14:paraId="624DAC98" w14:textId="77777777" w:rsidTr="004C3E44">
        <w:trPr>
          <w:cantSplit/>
        </w:trPr>
        <w:tc>
          <w:tcPr>
            <w:tcW w:w="1871" w:type="dxa"/>
          </w:tcPr>
          <w:p w14:paraId="7DF11C7B" w14:textId="77777777" w:rsidR="009E3980" w:rsidRDefault="009E3980" w:rsidP="004C3E44">
            <w:pPr>
              <w:pStyle w:val="TableSideHeading"/>
            </w:pPr>
          </w:p>
        </w:tc>
        <w:tc>
          <w:tcPr>
            <w:tcW w:w="624" w:type="dxa"/>
          </w:tcPr>
          <w:p w14:paraId="25DE842F" w14:textId="77777777" w:rsidR="009E3980" w:rsidRDefault="009E3980" w:rsidP="004C3E44">
            <w:pPr>
              <w:pStyle w:val="TableText"/>
            </w:pPr>
          </w:p>
        </w:tc>
        <w:tc>
          <w:tcPr>
            <w:tcW w:w="624" w:type="dxa"/>
          </w:tcPr>
          <w:p w14:paraId="6481CF52" w14:textId="77777777" w:rsidR="009E3980" w:rsidRDefault="009E3980" w:rsidP="004C3E44">
            <w:pPr>
              <w:pStyle w:val="TableText"/>
            </w:pPr>
          </w:p>
        </w:tc>
        <w:tc>
          <w:tcPr>
            <w:tcW w:w="6519" w:type="dxa"/>
            <w:gridSpan w:val="4"/>
          </w:tcPr>
          <w:p w14:paraId="62FB6B3B" w14:textId="467A6E6A" w:rsidR="009E3980" w:rsidRDefault="009E3980" w:rsidP="004C3E44">
            <w:pPr>
              <w:pStyle w:val="TableBlock"/>
            </w:pPr>
            <w:r>
              <w:rPr>
                <w:rFonts w:hint="cs"/>
                <w:rtl/>
              </w:rPr>
              <w:t>"</w:t>
            </w:r>
            <w:r w:rsidRPr="00737BFA">
              <w:rPr>
                <w:rFonts w:hint="cs"/>
                <w:rtl/>
              </w:rPr>
              <w:t xml:space="preserve">"יום התחילה החדש" </w:t>
            </w:r>
            <w:r w:rsidRPr="00737BFA">
              <w:rPr>
                <w:rFonts w:hint="eastAsia"/>
                <w:rtl/>
              </w:rPr>
              <w:t>–</w:t>
            </w:r>
            <w:r w:rsidRPr="00737BFA">
              <w:rPr>
                <w:rFonts w:hint="cs"/>
                <w:rtl/>
              </w:rPr>
              <w:t xml:space="preserve"> ג' בתשרי </w:t>
            </w:r>
            <w:proofErr w:type="spellStart"/>
            <w:r w:rsidRPr="00737BFA">
              <w:rPr>
                <w:rFonts w:hint="cs"/>
                <w:rtl/>
              </w:rPr>
              <w:t>התשע"ט</w:t>
            </w:r>
            <w:proofErr w:type="spellEnd"/>
            <w:r w:rsidRPr="00737BFA">
              <w:rPr>
                <w:rFonts w:hint="cs"/>
                <w:rtl/>
              </w:rPr>
              <w:t xml:space="preserve"> (12 בספטמבר 2018);</w:t>
            </w:r>
            <w:r>
              <w:rPr>
                <w:rFonts w:hint="cs"/>
                <w:rtl/>
              </w:rPr>
              <w:t>"</w:t>
            </w:r>
            <w:r w:rsidR="00F949A8">
              <w:rPr>
                <w:rFonts w:hint="cs"/>
                <w:rtl/>
              </w:rPr>
              <w:t>;</w:t>
            </w:r>
          </w:p>
        </w:tc>
      </w:tr>
      <w:tr w:rsidR="009E3980" w14:paraId="1BF14354" w14:textId="77777777" w:rsidTr="004C3E44">
        <w:trPr>
          <w:cantSplit/>
        </w:trPr>
        <w:tc>
          <w:tcPr>
            <w:tcW w:w="1871" w:type="dxa"/>
          </w:tcPr>
          <w:p w14:paraId="58E32E37" w14:textId="77777777" w:rsidR="009E3980" w:rsidRDefault="009E3980" w:rsidP="004C3E44">
            <w:pPr>
              <w:pStyle w:val="TableSideHeading"/>
            </w:pPr>
          </w:p>
        </w:tc>
        <w:tc>
          <w:tcPr>
            <w:tcW w:w="624" w:type="dxa"/>
          </w:tcPr>
          <w:p w14:paraId="1E70DC82" w14:textId="77777777" w:rsidR="009E3980" w:rsidRDefault="009E3980" w:rsidP="004C3E44">
            <w:pPr>
              <w:pStyle w:val="TableText"/>
            </w:pPr>
          </w:p>
        </w:tc>
        <w:tc>
          <w:tcPr>
            <w:tcW w:w="7143" w:type="dxa"/>
            <w:gridSpan w:val="5"/>
          </w:tcPr>
          <w:p w14:paraId="6AC8299C" w14:textId="79517ECD" w:rsidR="009E3980" w:rsidRDefault="009E3980" w:rsidP="004C3E44">
            <w:pPr>
              <w:pStyle w:val="TableBlock"/>
            </w:pPr>
            <w:r>
              <w:rPr>
                <w:rFonts w:hint="cs"/>
                <w:rtl/>
              </w:rPr>
              <w:t>(2)</w:t>
            </w:r>
            <w:r>
              <w:rPr>
                <w:rtl/>
              </w:rPr>
              <w:tab/>
            </w:r>
            <w:r>
              <w:rPr>
                <w:rFonts w:hint="cs"/>
                <w:rtl/>
              </w:rPr>
              <w:t xml:space="preserve">אחרי ההגדרה </w:t>
            </w:r>
            <w:r w:rsidR="00F949A8">
              <w:rPr>
                <w:rFonts w:hint="cs"/>
                <w:rtl/>
              </w:rPr>
              <w:t>"</w:t>
            </w:r>
            <w:r>
              <w:rPr>
                <w:rFonts w:hint="cs"/>
                <w:rtl/>
              </w:rPr>
              <w:t>שנת גיוס" יבוא:</w:t>
            </w:r>
          </w:p>
        </w:tc>
      </w:tr>
      <w:tr w:rsidR="009E3980" w14:paraId="32561A15" w14:textId="77777777" w:rsidTr="004C3E44">
        <w:trPr>
          <w:cantSplit/>
        </w:trPr>
        <w:tc>
          <w:tcPr>
            <w:tcW w:w="1871" w:type="dxa"/>
          </w:tcPr>
          <w:p w14:paraId="11B0B886" w14:textId="77777777" w:rsidR="009E3980" w:rsidRDefault="009E3980" w:rsidP="004C3E44">
            <w:pPr>
              <w:pStyle w:val="TableSideHeading"/>
            </w:pPr>
          </w:p>
        </w:tc>
        <w:tc>
          <w:tcPr>
            <w:tcW w:w="624" w:type="dxa"/>
          </w:tcPr>
          <w:p w14:paraId="43A39956" w14:textId="77777777" w:rsidR="009E3980" w:rsidRDefault="009E3980" w:rsidP="004C3E44">
            <w:pPr>
              <w:pStyle w:val="TableText"/>
            </w:pPr>
          </w:p>
        </w:tc>
        <w:tc>
          <w:tcPr>
            <w:tcW w:w="624" w:type="dxa"/>
          </w:tcPr>
          <w:p w14:paraId="763E5BF8" w14:textId="77777777" w:rsidR="009E3980" w:rsidRDefault="009E3980" w:rsidP="004C3E44">
            <w:pPr>
              <w:pStyle w:val="TableText"/>
            </w:pPr>
          </w:p>
        </w:tc>
        <w:tc>
          <w:tcPr>
            <w:tcW w:w="6519" w:type="dxa"/>
            <w:gridSpan w:val="4"/>
          </w:tcPr>
          <w:p w14:paraId="515B303B" w14:textId="05F0B92D" w:rsidR="009E3980" w:rsidRDefault="009E3980" w:rsidP="004C3E44">
            <w:pPr>
              <w:pStyle w:val="TableBlockOutdent"/>
            </w:pPr>
            <w:r w:rsidRPr="00093329">
              <w:rPr>
                <w:rFonts w:hint="cs"/>
                <w:rtl/>
              </w:rPr>
              <w:t xml:space="preserve">""שנת יעד" </w:t>
            </w:r>
            <w:r w:rsidRPr="00093329">
              <w:rPr>
                <w:rFonts w:hint="eastAsia"/>
                <w:rtl/>
              </w:rPr>
              <w:t>–</w:t>
            </w:r>
            <w:r w:rsidRPr="00093329">
              <w:rPr>
                <w:rFonts w:hint="cs"/>
                <w:rtl/>
              </w:rPr>
              <w:t xml:space="preserve"> שנה </w:t>
            </w:r>
            <w:r w:rsidR="00F949A8">
              <w:rPr>
                <w:rFonts w:hint="cs"/>
                <w:rtl/>
              </w:rPr>
              <w:t>ש</w:t>
            </w:r>
            <w:r w:rsidRPr="00093329">
              <w:rPr>
                <w:rFonts w:hint="cs"/>
                <w:rtl/>
              </w:rPr>
              <w:t>בה מסתיימת תקופה ההסתגלות או אחת מתקופות ההארכה שלה;"</w:t>
            </w:r>
            <w:r w:rsidR="00F949A8">
              <w:rPr>
                <w:rFonts w:hint="cs"/>
                <w:rtl/>
              </w:rPr>
              <w:t>;</w:t>
            </w:r>
          </w:p>
        </w:tc>
      </w:tr>
      <w:tr w:rsidR="009E3980" w14:paraId="3F77DF6C" w14:textId="77777777" w:rsidTr="004C3E44">
        <w:trPr>
          <w:cantSplit/>
        </w:trPr>
        <w:tc>
          <w:tcPr>
            <w:tcW w:w="1871" w:type="dxa"/>
          </w:tcPr>
          <w:p w14:paraId="2C335885" w14:textId="77777777" w:rsidR="009E3980" w:rsidRDefault="009E3980" w:rsidP="004C3E44">
            <w:pPr>
              <w:pStyle w:val="TableSideHeading"/>
            </w:pPr>
          </w:p>
        </w:tc>
        <w:tc>
          <w:tcPr>
            <w:tcW w:w="624" w:type="dxa"/>
          </w:tcPr>
          <w:p w14:paraId="48D7A555" w14:textId="77777777" w:rsidR="009E3980" w:rsidRDefault="009E3980" w:rsidP="004C3E44">
            <w:pPr>
              <w:pStyle w:val="TableText"/>
            </w:pPr>
          </w:p>
        </w:tc>
        <w:tc>
          <w:tcPr>
            <w:tcW w:w="7143" w:type="dxa"/>
            <w:gridSpan w:val="5"/>
          </w:tcPr>
          <w:p w14:paraId="13EE7E81" w14:textId="77777777" w:rsidR="009E3980" w:rsidRDefault="009E3980" w:rsidP="004C3E44">
            <w:pPr>
              <w:pStyle w:val="TableBlock"/>
            </w:pPr>
            <w:r>
              <w:rPr>
                <w:rFonts w:hint="cs"/>
                <w:rtl/>
              </w:rPr>
              <w:t>(3)</w:t>
            </w:r>
            <w:r>
              <w:rPr>
                <w:rtl/>
              </w:rPr>
              <w:tab/>
            </w:r>
            <w:r>
              <w:rPr>
                <w:rFonts w:hint="cs"/>
                <w:rtl/>
              </w:rPr>
              <w:t xml:space="preserve">ההגדרה "תקופת ההסתגלות הראשונה" </w:t>
            </w:r>
            <w:r>
              <w:rPr>
                <w:rFonts w:hint="eastAsia"/>
                <w:rtl/>
              </w:rPr>
              <w:t>–</w:t>
            </w:r>
            <w:r>
              <w:rPr>
                <w:rFonts w:hint="cs"/>
                <w:rtl/>
              </w:rPr>
              <w:t xml:space="preserve"> תימחק;</w:t>
            </w:r>
          </w:p>
        </w:tc>
      </w:tr>
      <w:tr w:rsidR="009E3980" w14:paraId="2ACB74CE" w14:textId="77777777" w:rsidTr="004C3E44">
        <w:trPr>
          <w:cantSplit/>
        </w:trPr>
        <w:tc>
          <w:tcPr>
            <w:tcW w:w="1871" w:type="dxa"/>
          </w:tcPr>
          <w:p w14:paraId="74C313CA" w14:textId="77777777" w:rsidR="009E3980" w:rsidRDefault="009E3980" w:rsidP="004C3E44">
            <w:pPr>
              <w:pStyle w:val="TableSideHeading"/>
            </w:pPr>
          </w:p>
        </w:tc>
        <w:tc>
          <w:tcPr>
            <w:tcW w:w="624" w:type="dxa"/>
          </w:tcPr>
          <w:p w14:paraId="7ADB1940" w14:textId="77777777" w:rsidR="009E3980" w:rsidRDefault="009E3980" w:rsidP="004C3E44">
            <w:pPr>
              <w:pStyle w:val="TableText"/>
            </w:pPr>
          </w:p>
        </w:tc>
        <w:tc>
          <w:tcPr>
            <w:tcW w:w="7143" w:type="dxa"/>
            <w:gridSpan w:val="5"/>
          </w:tcPr>
          <w:p w14:paraId="4264A99B" w14:textId="77777777" w:rsidR="009E3980" w:rsidRDefault="009E3980" w:rsidP="004C3E44">
            <w:pPr>
              <w:pStyle w:val="TableBlock"/>
              <w:rPr>
                <w:rtl/>
              </w:rPr>
            </w:pPr>
            <w:r>
              <w:rPr>
                <w:rFonts w:hint="cs"/>
                <w:rtl/>
              </w:rPr>
              <w:t>(4)</w:t>
            </w:r>
            <w:r>
              <w:rPr>
                <w:rtl/>
              </w:rPr>
              <w:tab/>
            </w:r>
            <w:r>
              <w:rPr>
                <w:rFonts w:hint="cs"/>
                <w:rtl/>
              </w:rPr>
              <w:t>במקום ההגדרה "תקופת ההסתגלות השנייה" יבוא:</w:t>
            </w:r>
          </w:p>
        </w:tc>
      </w:tr>
      <w:tr w:rsidR="009E3980" w14:paraId="7F5BDC9B" w14:textId="77777777" w:rsidTr="004C3E44">
        <w:trPr>
          <w:cantSplit/>
        </w:trPr>
        <w:tc>
          <w:tcPr>
            <w:tcW w:w="1871" w:type="dxa"/>
          </w:tcPr>
          <w:p w14:paraId="5A4CBFFA" w14:textId="77777777" w:rsidR="009E3980" w:rsidRDefault="009E3980" w:rsidP="004C3E44">
            <w:pPr>
              <w:pStyle w:val="TableSideHeading"/>
            </w:pPr>
          </w:p>
        </w:tc>
        <w:tc>
          <w:tcPr>
            <w:tcW w:w="624" w:type="dxa"/>
          </w:tcPr>
          <w:p w14:paraId="4D6DBC0D" w14:textId="77777777" w:rsidR="009E3980" w:rsidRDefault="009E3980" w:rsidP="004C3E44">
            <w:pPr>
              <w:pStyle w:val="TableText"/>
            </w:pPr>
          </w:p>
        </w:tc>
        <w:tc>
          <w:tcPr>
            <w:tcW w:w="624" w:type="dxa"/>
          </w:tcPr>
          <w:p w14:paraId="05D41D96" w14:textId="77777777" w:rsidR="009E3980" w:rsidRDefault="009E3980" w:rsidP="004C3E44">
            <w:pPr>
              <w:pStyle w:val="TableText"/>
            </w:pPr>
          </w:p>
        </w:tc>
        <w:tc>
          <w:tcPr>
            <w:tcW w:w="6519" w:type="dxa"/>
            <w:gridSpan w:val="4"/>
          </w:tcPr>
          <w:p w14:paraId="357FB552" w14:textId="7EFCB4C2" w:rsidR="009E3980" w:rsidRDefault="009E3980" w:rsidP="004C3E44">
            <w:pPr>
              <w:pStyle w:val="TableBlockOutdent"/>
            </w:pPr>
            <w:r w:rsidRPr="00093329">
              <w:rPr>
                <w:rFonts w:hint="cs"/>
                <w:rtl/>
              </w:rPr>
              <w:t xml:space="preserve">""תקופת </w:t>
            </w:r>
            <w:r w:rsidRPr="00405554">
              <w:rPr>
                <w:rFonts w:hint="cs"/>
                <w:rtl/>
              </w:rPr>
              <w:t>ההסתגלות</w:t>
            </w:r>
            <w:r w:rsidRPr="00093329">
              <w:rPr>
                <w:rFonts w:hint="cs"/>
                <w:rtl/>
              </w:rPr>
              <w:t xml:space="preserve">" </w:t>
            </w:r>
            <w:r w:rsidRPr="00093329">
              <w:rPr>
                <w:rFonts w:hint="eastAsia"/>
                <w:rtl/>
              </w:rPr>
              <w:t>–</w:t>
            </w:r>
            <w:r w:rsidRPr="00093329">
              <w:rPr>
                <w:rFonts w:hint="cs"/>
                <w:rtl/>
              </w:rPr>
              <w:t xml:space="preserve"> התקופה שמיום התחילה החדש עד יום ג' בתשרי </w:t>
            </w:r>
            <w:proofErr w:type="spellStart"/>
            <w:r w:rsidRPr="00093329">
              <w:rPr>
                <w:rFonts w:hint="cs"/>
                <w:rtl/>
              </w:rPr>
              <w:t>ה</w:t>
            </w:r>
            <w:r>
              <w:rPr>
                <w:rFonts w:hint="cs"/>
                <w:rtl/>
              </w:rPr>
              <w:t>תש</w:t>
            </w:r>
            <w:r w:rsidRPr="00093329">
              <w:rPr>
                <w:rFonts w:hint="cs"/>
                <w:rtl/>
              </w:rPr>
              <w:t>פ"ג</w:t>
            </w:r>
            <w:proofErr w:type="spellEnd"/>
            <w:r w:rsidRPr="00093329">
              <w:rPr>
                <w:rFonts w:hint="cs"/>
                <w:rtl/>
              </w:rPr>
              <w:t xml:space="preserve"> (28 בספטמבר 2022);"</w:t>
            </w:r>
            <w:r w:rsidR="00F949A8">
              <w:rPr>
                <w:rFonts w:hint="cs"/>
                <w:rtl/>
              </w:rPr>
              <w:t>.</w:t>
            </w:r>
          </w:p>
        </w:tc>
      </w:tr>
      <w:tr w:rsidR="009E3980" w14:paraId="3903398D" w14:textId="77777777" w:rsidTr="004C3E44">
        <w:trPr>
          <w:cantSplit/>
        </w:trPr>
        <w:tc>
          <w:tcPr>
            <w:tcW w:w="1871" w:type="dxa"/>
            <w:shd w:val="clear" w:color="auto" w:fill="auto"/>
          </w:tcPr>
          <w:p w14:paraId="022B3401" w14:textId="77777777" w:rsidR="009E3980" w:rsidRDefault="009E3980" w:rsidP="004C3E44">
            <w:pPr>
              <w:pStyle w:val="TableSideHeading"/>
              <w:keepLines w:val="0"/>
            </w:pPr>
            <w:r>
              <w:rPr>
                <w:rFonts w:hint="cs"/>
                <w:rtl/>
              </w:rPr>
              <w:t>תיקון סעיף 26ג</w:t>
            </w:r>
          </w:p>
        </w:tc>
        <w:tc>
          <w:tcPr>
            <w:tcW w:w="624" w:type="dxa"/>
            <w:shd w:val="clear" w:color="auto" w:fill="auto"/>
          </w:tcPr>
          <w:p w14:paraId="4E76AA0F" w14:textId="77777777" w:rsidR="009E3980" w:rsidRDefault="009E3980" w:rsidP="004C3E44">
            <w:pPr>
              <w:pStyle w:val="TableText"/>
              <w:keepLines w:val="0"/>
              <w:tabs>
                <w:tab w:val="clear" w:pos="624"/>
              </w:tabs>
            </w:pPr>
            <w:r>
              <w:rPr>
                <w:rFonts w:hint="cs"/>
                <w:rtl/>
              </w:rPr>
              <w:t xml:space="preserve">2. </w:t>
            </w:r>
          </w:p>
        </w:tc>
        <w:tc>
          <w:tcPr>
            <w:tcW w:w="7143" w:type="dxa"/>
            <w:gridSpan w:val="5"/>
          </w:tcPr>
          <w:p w14:paraId="3966D4EC" w14:textId="77777777" w:rsidR="009E3980" w:rsidRPr="00C34DE2" w:rsidRDefault="009E3980" w:rsidP="004C3E44">
            <w:pPr>
              <w:pStyle w:val="TableBlock"/>
            </w:pPr>
            <w:r>
              <w:rPr>
                <w:rFonts w:hint="cs"/>
                <w:rtl/>
              </w:rPr>
              <w:t xml:space="preserve">בסעיף 26ג לחוק העיקרי </w:t>
            </w:r>
            <w:r>
              <w:rPr>
                <w:rtl/>
              </w:rPr>
              <w:softHyphen/>
            </w:r>
            <w:r>
              <w:rPr>
                <w:rFonts w:hint="eastAsia"/>
                <w:rtl/>
              </w:rPr>
              <w:t>–</w:t>
            </w:r>
          </w:p>
        </w:tc>
      </w:tr>
      <w:tr w:rsidR="009E3980" w14:paraId="49D95FBF" w14:textId="77777777" w:rsidTr="004C3E44">
        <w:trPr>
          <w:cantSplit/>
        </w:trPr>
        <w:tc>
          <w:tcPr>
            <w:tcW w:w="1871" w:type="dxa"/>
          </w:tcPr>
          <w:p w14:paraId="4BC3AB91" w14:textId="77777777" w:rsidR="009E3980" w:rsidRDefault="009E3980" w:rsidP="004C3E44">
            <w:pPr>
              <w:pStyle w:val="TableSideHeading"/>
            </w:pPr>
          </w:p>
        </w:tc>
        <w:tc>
          <w:tcPr>
            <w:tcW w:w="624" w:type="dxa"/>
          </w:tcPr>
          <w:p w14:paraId="2C99AF3F" w14:textId="77777777" w:rsidR="009E3980" w:rsidRDefault="009E3980" w:rsidP="004C3E44">
            <w:pPr>
              <w:pStyle w:val="TableText"/>
            </w:pPr>
          </w:p>
        </w:tc>
        <w:tc>
          <w:tcPr>
            <w:tcW w:w="7143" w:type="dxa"/>
            <w:gridSpan w:val="5"/>
          </w:tcPr>
          <w:p w14:paraId="1EE4C800" w14:textId="77777777" w:rsidR="009E3980" w:rsidRDefault="009E3980" w:rsidP="004C3E44">
            <w:pPr>
              <w:pStyle w:val="TableBlock"/>
            </w:pPr>
            <w:r>
              <w:rPr>
                <w:rFonts w:hint="cs"/>
                <w:rtl/>
              </w:rPr>
              <w:t>(1)</w:t>
            </w:r>
            <w:r>
              <w:rPr>
                <w:rtl/>
              </w:rPr>
              <w:tab/>
            </w:r>
            <w:r>
              <w:rPr>
                <w:rFonts w:hint="cs"/>
                <w:rtl/>
              </w:rPr>
              <w:t>במקום סעיף קטן (א) יבוא:</w:t>
            </w:r>
          </w:p>
        </w:tc>
      </w:tr>
      <w:tr w:rsidR="009E3980" w14:paraId="20770291" w14:textId="77777777" w:rsidTr="004C3E44">
        <w:trPr>
          <w:cantSplit/>
        </w:trPr>
        <w:tc>
          <w:tcPr>
            <w:tcW w:w="1871" w:type="dxa"/>
          </w:tcPr>
          <w:p w14:paraId="333B019F" w14:textId="77777777" w:rsidR="009E3980" w:rsidRDefault="009E3980" w:rsidP="004C3E44">
            <w:pPr>
              <w:pStyle w:val="TableSideHeading"/>
            </w:pPr>
          </w:p>
        </w:tc>
        <w:tc>
          <w:tcPr>
            <w:tcW w:w="624" w:type="dxa"/>
          </w:tcPr>
          <w:p w14:paraId="79BA056D" w14:textId="77777777" w:rsidR="009E3980" w:rsidRDefault="009E3980" w:rsidP="004C3E44">
            <w:pPr>
              <w:pStyle w:val="TableText"/>
            </w:pPr>
          </w:p>
        </w:tc>
        <w:tc>
          <w:tcPr>
            <w:tcW w:w="624" w:type="dxa"/>
          </w:tcPr>
          <w:p w14:paraId="706F308A" w14:textId="77777777" w:rsidR="009E3980" w:rsidRDefault="009E3980" w:rsidP="004C3E44">
            <w:pPr>
              <w:pStyle w:val="TableText"/>
            </w:pPr>
          </w:p>
        </w:tc>
        <w:tc>
          <w:tcPr>
            <w:tcW w:w="6519" w:type="dxa"/>
            <w:gridSpan w:val="4"/>
          </w:tcPr>
          <w:p w14:paraId="74A60767" w14:textId="242B2CCA" w:rsidR="009E3980" w:rsidRDefault="009E3980" w:rsidP="00F949A8">
            <w:pPr>
              <w:pStyle w:val="TableBlock"/>
              <w:rPr>
                <w:rtl/>
              </w:rPr>
            </w:pPr>
            <w:r>
              <w:rPr>
                <w:rFonts w:hint="cs"/>
                <w:rtl/>
              </w:rPr>
              <w:t>"(א)</w:t>
            </w:r>
            <w:r>
              <w:rPr>
                <w:rtl/>
              </w:rPr>
              <w:tab/>
            </w:r>
            <w:r>
              <w:rPr>
                <w:rFonts w:hint="cs"/>
                <w:rtl/>
              </w:rPr>
              <w:t>הוראות פרק זה לגבי מעמדם של לומדי תורה נקבעות לאור החשיבות והמשמעות שנקבעו לגבי לימוד התורה בחוק-יסוד: לימוד תורה."</w:t>
            </w:r>
          </w:p>
        </w:tc>
      </w:tr>
      <w:tr w:rsidR="009E3980" w14:paraId="4D9260E6" w14:textId="77777777" w:rsidTr="004C3E44">
        <w:trPr>
          <w:cantSplit/>
        </w:trPr>
        <w:tc>
          <w:tcPr>
            <w:tcW w:w="1871" w:type="dxa"/>
          </w:tcPr>
          <w:p w14:paraId="10AA29CE" w14:textId="77777777" w:rsidR="009E3980" w:rsidRDefault="009E3980" w:rsidP="004C3E44">
            <w:pPr>
              <w:pStyle w:val="TableSideHeading"/>
            </w:pPr>
          </w:p>
        </w:tc>
        <w:tc>
          <w:tcPr>
            <w:tcW w:w="624" w:type="dxa"/>
          </w:tcPr>
          <w:p w14:paraId="6B126EFE" w14:textId="77777777" w:rsidR="009E3980" w:rsidRDefault="009E3980" w:rsidP="004C3E44">
            <w:pPr>
              <w:pStyle w:val="TableText"/>
            </w:pPr>
          </w:p>
        </w:tc>
        <w:tc>
          <w:tcPr>
            <w:tcW w:w="7143" w:type="dxa"/>
            <w:gridSpan w:val="5"/>
          </w:tcPr>
          <w:p w14:paraId="3D38F817" w14:textId="77777777" w:rsidR="009E3980" w:rsidRDefault="009E3980" w:rsidP="004C3E44">
            <w:pPr>
              <w:pStyle w:val="TableBlock"/>
            </w:pPr>
            <w:r>
              <w:rPr>
                <w:rFonts w:hint="cs"/>
                <w:rtl/>
              </w:rPr>
              <w:t>(2)</w:t>
            </w:r>
            <w:r>
              <w:rPr>
                <w:rtl/>
              </w:rPr>
              <w:tab/>
            </w:r>
            <w:r>
              <w:rPr>
                <w:rFonts w:hint="cs"/>
                <w:rtl/>
              </w:rPr>
              <w:t xml:space="preserve">בסעיף קטן (ב) </w:t>
            </w:r>
            <w:r>
              <w:rPr>
                <w:rFonts w:hint="eastAsia"/>
                <w:rtl/>
              </w:rPr>
              <w:t>–</w:t>
            </w:r>
            <w:r>
              <w:rPr>
                <w:rtl/>
              </w:rPr>
              <w:tab/>
            </w:r>
          </w:p>
        </w:tc>
      </w:tr>
      <w:tr w:rsidR="009E3980" w14:paraId="09DFEF6A" w14:textId="77777777" w:rsidTr="004C3E44">
        <w:trPr>
          <w:cantSplit/>
        </w:trPr>
        <w:tc>
          <w:tcPr>
            <w:tcW w:w="1871" w:type="dxa"/>
          </w:tcPr>
          <w:p w14:paraId="039C2988" w14:textId="77777777" w:rsidR="009E3980" w:rsidRDefault="009E3980" w:rsidP="004C3E44">
            <w:pPr>
              <w:pStyle w:val="TableSideHeading"/>
            </w:pPr>
          </w:p>
        </w:tc>
        <w:tc>
          <w:tcPr>
            <w:tcW w:w="624" w:type="dxa"/>
          </w:tcPr>
          <w:p w14:paraId="18F1EEF2" w14:textId="77777777" w:rsidR="009E3980" w:rsidRDefault="009E3980" w:rsidP="004C3E44">
            <w:pPr>
              <w:pStyle w:val="TableText"/>
            </w:pPr>
          </w:p>
        </w:tc>
        <w:tc>
          <w:tcPr>
            <w:tcW w:w="624" w:type="dxa"/>
          </w:tcPr>
          <w:p w14:paraId="146877A8" w14:textId="77777777" w:rsidR="009E3980" w:rsidRDefault="009E3980" w:rsidP="004C3E44">
            <w:pPr>
              <w:pStyle w:val="TableText"/>
            </w:pPr>
          </w:p>
        </w:tc>
        <w:tc>
          <w:tcPr>
            <w:tcW w:w="6519" w:type="dxa"/>
            <w:gridSpan w:val="4"/>
          </w:tcPr>
          <w:p w14:paraId="06C33549" w14:textId="77777777" w:rsidR="009E3980" w:rsidRDefault="009E3980" w:rsidP="004C3E44">
            <w:pPr>
              <w:pStyle w:val="TableBlock"/>
            </w:pPr>
            <w:r>
              <w:rPr>
                <w:rFonts w:hint="cs"/>
                <w:rtl/>
              </w:rPr>
              <w:t>(א)</w:t>
            </w:r>
            <w:r>
              <w:rPr>
                <w:rtl/>
              </w:rPr>
              <w:tab/>
            </w:r>
            <w:r>
              <w:rPr>
                <w:rFonts w:hint="cs"/>
                <w:rtl/>
              </w:rPr>
              <w:t>בכל מקום, אחרי "שביום התחילה" יבוא "החדש";</w:t>
            </w:r>
          </w:p>
        </w:tc>
      </w:tr>
      <w:tr w:rsidR="009E3980" w14:paraId="21A68D3A" w14:textId="77777777" w:rsidTr="004C3E44">
        <w:trPr>
          <w:cantSplit/>
        </w:trPr>
        <w:tc>
          <w:tcPr>
            <w:tcW w:w="1871" w:type="dxa"/>
          </w:tcPr>
          <w:p w14:paraId="6EF06A54" w14:textId="77777777" w:rsidR="009E3980" w:rsidRDefault="009E3980" w:rsidP="004C3E44">
            <w:pPr>
              <w:pStyle w:val="TableSideHeading"/>
            </w:pPr>
          </w:p>
        </w:tc>
        <w:tc>
          <w:tcPr>
            <w:tcW w:w="624" w:type="dxa"/>
          </w:tcPr>
          <w:p w14:paraId="182C1AE5" w14:textId="77777777" w:rsidR="009E3980" w:rsidRDefault="009E3980" w:rsidP="004C3E44">
            <w:pPr>
              <w:pStyle w:val="TableText"/>
            </w:pPr>
          </w:p>
        </w:tc>
        <w:tc>
          <w:tcPr>
            <w:tcW w:w="624" w:type="dxa"/>
          </w:tcPr>
          <w:p w14:paraId="6F1078C3" w14:textId="77777777" w:rsidR="009E3980" w:rsidRDefault="009E3980" w:rsidP="004C3E44">
            <w:pPr>
              <w:pStyle w:val="TableText"/>
            </w:pPr>
          </w:p>
        </w:tc>
        <w:tc>
          <w:tcPr>
            <w:tcW w:w="6519" w:type="dxa"/>
            <w:gridSpan w:val="4"/>
          </w:tcPr>
          <w:p w14:paraId="65F5CC2B" w14:textId="77777777" w:rsidR="009E3980" w:rsidRDefault="009E3980" w:rsidP="004C3E44">
            <w:pPr>
              <w:pStyle w:val="TableBlock"/>
              <w:rPr>
                <w:rtl/>
              </w:rPr>
            </w:pPr>
            <w:r>
              <w:rPr>
                <w:rFonts w:hint="cs"/>
                <w:rtl/>
              </w:rPr>
              <w:t>(ב)</w:t>
            </w:r>
            <w:r>
              <w:rPr>
                <w:rtl/>
              </w:rPr>
              <w:tab/>
            </w:r>
            <w:r>
              <w:rPr>
                <w:rFonts w:hint="cs"/>
                <w:rtl/>
              </w:rPr>
              <w:t xml:space="preserve">בפסקה (3), המילה "הראשונה" </w:t>
            </w:r>
            <w:r>
              <w:rPr>
                <w:rFonts w:hint="eastAsia"/>
                <w:rtl/>
              </w:rPr>
              <w:t>–</w:t>
            </w:r>
            <w:r>
              <w:rPr>
                <w:rFonts w:hint="cs"/>
                <w:rtl/>
              </w:rPr>
              <w:t xml:space="preserve"> תימחק;  </w:t>
            </w:r>
          </w:p>
        </w:tc>
      </w:tr>
      <w:tr w:rsidR="009E3980" w14:paraId="09EC1E19" w14:textId="77777777" w:rsidTr="004C3E44">
        <w:trPr>
          <w:cantSplit/>
        </w:trPr>
        <w:tc>
          <w:tcPr>
            <w:tcW w:w="1871" w:type="dxa"/>
          </w:tcPr>
          <w:p w14:paraId="0D84AA5D" w14:textId="77777777" w:rsidR="009E3980" w:rsidRDefault="009E3980" w:rsidP="004C3E44">
            <w:pPr>
              <w:pStyle w:val="TableSideHeading"/>
            </w:pPr>
          </w:p>
        </w:tc>
        <w:tc>
          <w:tcPr>
            <w:tcW w:w="624" w:type="dxa"/>
          </w:tcPr>
          <w:p w14:paraId="35885F6B" w14:textId="77777777" w:rsidR="009E3980" w:rsidRDefault="009E3980" w:rsidP="004C3E44">
            <w:pPr>
              <w:pStyle w:val="TableText"/>
            </w:pPr>
          </w:p>
        </w:tc>
        <w:tc>
          <w:tcPr>
            <w:tcW w:w="624" w:type="dxa"/>
          </w:tcPr>
          <w:p w14:paraId="4BC15719" w14:textId="77777777" w:rsidR="009E3980" w:rsidRDefault="009E3980" w:rsidP="004C3E44">
            <w:pPr>
              <w:pStyle w:val="TableText"/>
            </w:pPr>
          </w:p>
        </w:tc>
        <w:tc>
          <w:tcPr>
            <w:tcW w:w="6519" w:type="dxa"/>
            <w:gridSpan w:val="4"/>
          </w:tcPr>
          <w:p w14:paraId="53374202" w14:textId="77777777" w:rsidR="009E3980" w:rsidRDefault="009E3980" w:rsidP="004C3E44">
            <w:pPr>
              <w:pStyle w:val="TableBlock"/>
              <w:rPr>
                <w:rtl/>
              </w:rPr>
            </w:pPr>
            <w:r>
              <w:rPr>
                <w:rFonts w:hint="cs"/>
                <w:rtl/>
              </w:rPr>
              <w:t>(ג)</w:t>
            </w:r>
            <w:r>
              <w:rPr>
                <w:rtl/>
              </w:rPr>
              <w:tab/>
            </w:r>
            <w:r>
              <w:rPr>
                <w:rFonts w:hint="cs"/>
                <w:rtl/>
              </w:rPr>
              <w:t xml:space="preserve">פסקה (4)  </w:t>
            </w:r>
            <w:r>
              <w:rPr>
                <w:rFonts w:hint="eastAsia"/>
                <w:rtl/>
              </w:rPr>
              <w:t>–</w:t>
            </w:r>
            <w:r>
              <w:rPr>
                <w:rFonts w:hint="cs"/>
                <w:rtl/>
              </w:rPr>
              <w:t xml:space="preserve"> תימחק.  </w:t>
            </w:r>
          </w:p>
        </w:tc>
      </w:tr>
      <w:tr w:rsidR="009E3980" w14:paraId="531978E6" w14:textId="77777777" w:rsidTr="004C3E44">
        <w:trPr>
          <w:cantSplit/>
        </w:trPr>
        <w:tc>
          <w:tcPr>
            <w:tcW w:w="1871" w:type="dxa"/>
          </w:tcPr>
          <w:p w14:paraId="424B509E" w14:textId="1212F832" w:rsidR="009E3980" w:rsidRDefault="009E3980" w:rsidP="004C3E44">
            <w:pPr>
              <w:pStyle w:val="TableSideHeading"/>
            </w:pPr>
            <w:r>
              <w:rPr>
                <w:rFonts w:hint="cs"/>
                <w:rtl/>
              </w:rPr>
              <w:t>תיקון כותרת סימן ב'</w:t>
            </w:r>
            <w:r w:rsidR="00F949A8">
              <w:rPr>
                <w:rFonts w:hint="cs"/>
                <w:rtl/>
              </w:rPr>
              <w:t xml:space="preserve"> לפרק ג'1</w:t>
            </w:r>
          </w:p>
        </w:tc>
        <w:tc>
          <w:tcPr>
            <w:tcW w:w="624" w:type="dxa"/>
          </w:tcPr>
          <w:p w14:paraId="5E608554" w14:textId="77777777" w:rsidR="009E3980" w:rsidRDefault="009E3980" w:rsidP="004C3E44">
            <w:pPr>
              <w:pStyle w:val="TableText"/>
            </w:pPr>
            <w:r>
              <w:rPr>
                <w:rFonts w:hint="cs"/>
                <w:rtl/>
              </w:rPr>
              <w:t>3.</w:t>
            </w:r>
          </w:p>
        </w:tc>
        <w:tc>
          <w:tcPr>
            <w:tcW w:w="7143" w:type="dxa"/>
            <w:gridSpan w:val="5"/>
          </w:tcPr>
          <w:p w14:paraId="37E7CFBE" w14:textId="2AE4440A" w:rsidR="009E3980" w:rsidRPr="00C34DE2" w:rsidRDefault="00F949A8" w:rsidP="004C3E44">
            <w:pPr>
              <w:pStyle w:val="TableBlock"/>
            </w:pPr>
            <w:r>
              <w:rPr>
                <w:rFonts w:hint="cs"/>
                <w:rtl/>
              </w:rPr>
              <w:t>בכותרת סימן ב' ל</w:t>
            </w:r>
            <w:r w:rsidR="009E3980">
              <w:rPr>
                <w:rFonts w:hint="cs"/>
                <w:rtl/>
              </w:rPr>
              <w:t>פרק ג'1 לחוק העיקרי, במקום "תקופת ההסתגלות הראשונה" יבוא "דחיית שירות".</w:t>
            </w:r>
          </w:p>
        </w:tc>
      </w:tr>
      <w:tr w:rsidR="009E3980" w14:paraId="2474F84A" w14:textId="77777777" w:rsidTr="004C3E44">
        <w:trPr>
          <w:cantSplit/>
        </w:trPr>
        <w:tc>
          <w:tcPr>
            <w:tcW w:w="1871" w:type="dxa"/>
          </w:tcPr>
          <w:p w14:paraId="133FF755" w14:textId="77777777" w:rsidR="009E3980" w:rsidRDefault="009E3980" w:rsidP="004C3E44">
            <w:pPr>
              <w:pStyle w:val="TableSideHeading"/>
              <w:rPr>
                <w:rtl/>
              </w:rPr>
            </w:pPr>
            <w:r>
              <w:rPr>
                <w:rFonts w:hint="cs"/>
                <w:rtl/>
              </w:rPr>
              <w:t>ביטול סעיף 26ד</w:t>
            </w:r>
          </w:p>
        </w:tc>
        <w:tc>
          <w:tcPr>
            <w:tcW w:w="624" w:type="dxa"/>
          </w:tcPr>
          <w:p w14:paraId="18004150" w14:textId="77777777" w:rsidR="009E3980" w:rsidRDefault="009E3980" w:rsidP="004C3E44">
            <w:pPr>
              <w:pStyle w:val="TableText"/>
              <w:rPr>
                <w:rtl/>
              </w:rPr>
            </w:pPr>
            <w:r>
              <w:rPr>
                <w:rFonts w:hint="cs"/>
                <w:rtl/>
              </w:rPr>
              <w:t>4.</w:t>
            </w:r>
          </w:p>
        </w:tc>
        <w:tc>
          <w:tcPr>
            <w:tcW w:w="7143" w:type="dxa"/>
            <w:gridSpan w:val="5"/>
          </w:tcPr>
          <w:p w14:paraId="5CD64DD6" w14:textId="77777777" w:rsidR="009E3980" w:rsidRDefault="009E3980" w:rsidP="004C3E44">
            <w:pPr>
              <w:pStyle w:val="TableBlock"/>
              <w:rPr>
                <w:rtl/>
              </w:rPr>
            </w:pPr>
            <w:r>
              <w:rPr>
                <w:rFonts w:hint="cs"/>
                <w:rtl/>
              </w:rPr>
              <w:t xml:space="preserve">סעיף 26ד לחוק העיקרי </w:t>
            </w:r>
            <w:r>
              <w:rPr>
                <w:rFonts w:hint="eastAsia"/>
                <w:rtl/>
              </w:rPr>
              <w:t>–</w:t>
            </w:r>
            <w:r>
              <w:rPr>
                <w:rFonts w:hint="cs"/>
                <w:rtl/>
              </w:rPr>
              <w:t xml:space="preserve"> בטל.</w:t>
            </w:r>
          </w:p>
        </w:tc>
      </w:tr>
      <w:tr w:rsidR="009E3980" w14:paraId="10182165" w14:textId="77777777" w:rsidTr="004C3E44">
        <w:trPr>
          <w:cantSplit/>
        </w:trPr>
        <w:tc>
          <w:tcPr>
            <w:tcW w:w="1871" w:type="dxa"/>
          </w:tcPr>
          <w:p w14:paraId="3665F7CA" w14:textId="77777777" w:rsidR="009E3980" w:rsidRDefault="009E3980" w:rsidP="004C3E44">
            <w:pPr>
              <w:pStyle w:val="TableSideHeading"/>
              <w:rPr>
                <w:rtl/>
              </w:rPr>
            </w:pPr>
            <w:r>
              <w:rPr>
                <w:rFonts w:hint="cs"/>
                <w:rtl/>
              </w:rPr>
              <w:t>תיקון סעיף 26ה</w:t>
            </w:r>
          </w:p>
        </w:tc>
        <w:tc>
          <w:tcPr>
            <w:tcW w:w="624" w:type="dxa"/>
          </w:tcPr>
          <w:p w14:paraId="00DFD01C" w14:textId="77777777" w:rsidR="009E3980" w:rsidRDefault="009E3980" w:rsidP="004C3E44">
            <w:pPr>
              <w:pStyle w:val="TableText"/>
              <w:rPr>
                <w:rtl/>
              </w:rPr>
            </w:pPr>
            <w:r>
              <w:rPr>
                <w:rFonts w:hint="cs"/>
                <w:rtl/>
              </w:rPr>
              <w:t>5.</w:t>
            </w:r>
          </w:p>
        </w:tc>
        <w:tc>
          <w:tcPr>
            <w:tcW w:w="7143" w:type="dxa"/>
            <w:gridSpan w:val="5"/>
          </w:tcPr>
          <w:p w14:paraId="253F7FD7" w14:textId="77777777" w:rsidR="009E3980" w:rsidRDefault="009E3980" w:rsidP="004C3E44">
            <w:pPr>
              <w:pStyle w:val="TableBlock"/>
              <w:rPr>
                <w:rtl/>
              </w:rPr>
            </w:pPr>
            <w:r>
              <w:rPr>
                <w:rFonts w:hint="cs"/>
                <w:rtl/>
              </w:rPr>
              <w:t xml:space="preserve">בסעיף 26ה לחוק העיקרי </w:t>
            </w:r>
            <w:r>
              <w:rPr>
                <w:rFonts w:hint="eastAsia"/>
                <w:rtl/>
              </w:rPr>
              <w:t>–</w:t>
            </w:r>
          </w:p>
        </w:tc>
      </w:tr>
      <w:tr w:rsidR="009E3980" w14:paraId="40EB6A16" w14:textId="77777777" w:rsidTr="004C3E44">
        <w:trPr>
          <w:cantSplit/>
        </w:trPr>
        <w:tc>
          <w:tcPr>
            <w:tcW w:w="1871" w:type="dxa"/>
          </w:tcPr>
          <w:p w14:paraId="08C5C6D8" w14:textId="77777777" w:rsidR="009E3980" w:rsidRDefault="009E3980" w:rsidP="004C3E44">
            <w:pPr>
              <w:pStyle w:val="TableSideHeading"/>
            </w:pPr>
          </w:p>
        </w:tc>
        <w:tc>
          <w:tcPr>
            <w:tcW w:w="624" w:type="dxa"/>
          </w:tcPr>
          <w:p w14:paraId="266A0F92" w14:textId="77777777" w:rsidR="009E3980" w:rsidRDefault="009E3980" w:rsidP="004C3E44">
            <w:pPr>
              <w:pStyle w:val="TableText"/>
            </w:pPr>
          </w:p>
        </w:tc>
        <w:tc>
          <w:tcPr>
            <w:tcW w:w="7143" w:type="dxa"/>
            <w:gridSpan w:val="5"/>
          </w:tcPr>
          <w:p w14:paraId="4DE40D9F" w14:textId="77777777" w:rsidR="009E3980" w:rsidRPr="002F2903" w:rsidRDefault="009E3980" w:rsidP="004C3E44">
            <w:pPr>
              <w:pStyle w:val="TableBlock"/>
            </w:pPr>
            <w:r>
              <w:rPr>
                <w:rFonts w:hint="cs"/>
                <w:rtl/>
              </w:rPr>
              <w:t>(1)</w:t>
            </w:r>
            <w:r>
              <w:rPr>
                <w:rtl/>
              </w:rPr>
              <w:tab/>
            </w:r>
            <w:r>
              <w:rPr>
                <w:rFonts w:hint="cs"/>
                <w:rtl/>
              </w:rPr>
              <w:t>במקום סעיף קטן (א) יבוא:</w:t>
            </w:r>
          </w:p>
        </w:tc>
      </w:tr>
      <w:tr w:rsidR="009E3980" w14:paraId="5091C51D" w14:textId="77777777" w:rsidTr="004C3E44">
        <w:trPr>
          <w:cantSplit/>
        </w:trPr>
        <w:tc>
          <w:tcPr>
            <w:tcW w:w="1871" w:type="dxa"/>
          </w:tcPr>
          <w:p w14:paraId="22519D91" w14:textId="77777777" w:rsidR="009E3980" w:rsidRDefault="009E3980" w:rsidP="004C3E44">
            <w:pPr>
              <w:pStyle w:val="TableSideHeading"/>
            </w:pPr>
          </w:p>
        </w:tc>
        <w:tc>
          <w:tcPr>
            <w:tcW w:w="624" w:type="dxa"/>
          </w:tcPr>
          <w:p w14:paraId="301699C5" w14:textId="77777777" w:rsidR="009E3980" w:rsidRDefault="009E3980" w:rsidP="004C3E44">
            <w:pPr>
              <w:pStyle w:val="TableText"/>
            </w:pPr>
          </w:p>
        </w:tc>
        <w:tc>
          <w:tcPr>
            <w:tcW w:w="624" w:type="dxa"/>
          </w:tcPr>
          <w:p w14:paraId="6E15E917" w14:textId="77777777" w:rsidR="009E3980" w:rsidRDefault="009E3980" w:rsidP="004C3E44">
            <w:pPr>
              <w:pStyle w:val="TableText"/>
            </w:pPr>
          </w:p>
        </w:tc>
        <w:tc>
          <w:tcPr>
            <w:tcW w:w="6519" w:type="dxa"/>
            <w:gridSpan w:val="4"/>
          </w:tcPr>
          <w:p w14:paraId="599BFEFB" w14:textId="77777777" w:rsidR="009E3980" w:rsidRDefault="009E3980" w:rsidP="004C3E44">
            <w:pPr>
              <w:pStyle w:val="TableBlock"/>
            </w:pPr>
            <w:r>
              <w:rPr>
                <w:rFonts w:hint="cs"/>
                <w:rtl/>
              </w:rPr>
              <w:t>"(א)</w:t>
            </w:r>
            <w:r>
              <w:rPr>
                <w:rtl/>
              </w:rPr>
              <w:tab/>
            </w:r>
            <w:r>
              <w:rPr>
                <w:rFonts w:hint="cs"/>
                <w:rtl/>
              </w:rPr>
              <w:t>שר הביטחון, לבקשת מיועד לשירות ביטחון שהוא תלמיד ישיבה וביום התחילה החדש מלאו לו 18 שנים וטרם מלאו לו 22 שנים, ידחה, בצו, את מועד התייצבותו של המבקש לשירות סדיר, זולת אם מצא כי לא ניתן לעשות כן בהתחשב בצורכי הביטחון ובהיקף הכוחות הסדירים.";</w:t>
            </w:r>
          </w:p>
        </w:tc>
      </w:tr>
      <w:tr w:rsidR="009E3980" w14:paraId="09F7FD74" w14:textId="77777777" w:rsidTr="004C3E44">
        <w:trPr>
          <w:cantSplit/>
        </w:trPr>
        <w:tc>
          <w:tcPr>
            <w:tcW w:w="1871" w:type="dxa"/>
          </w:tcPr>
          <w:p w14:paraId="0343D2E3" w14:textId="77777777" w:rsidR="009E3980" w:rsidRDefault="009E3980" w:rsidP="004C3E44">
            <w:pPr>
              <w:pStyle w:val="TableSideHeading"/>
            </w:pPr>
          </w:p>
        </w:tc>
        <w:tc>
          <w:tcPr>
            <w:tcW w:w="624" w:type="dxa"/>
          </w:tcPr>
          <w:p w14:paraId="5BFE10C6" w14:textId="77777777" w:rsidR="009E3980" w:rsidRDefault="009E3980" w:rsidP="004C3E44">
            <w:pPr>
              <w:pStyle w:val="TableText"/>
            </w:pPr>
          </w:p>
        </w:tc>
        <w:tc>
          <w:tcPr>
            <w:tcW w:w="7143" w:type="dxa"/>
            <w:gridSpan w:val="5"/>
          </w:tcPr>
          <w:p w14:paraId="3CD6729E" w14:textId="77777777" w:rsidR="009E3980" w:rsidRDefault="009E3980" w:rsidP="004C3E44">
            <w:pPr>
              <w:pStyle w:val="TableBlock"/>
              <w:rPr>
                <w:rtl/>
              </w:rPr>
            </w:pPr>
            <w:r>
              <w:rPr>
                <w:rFonts w:hint="cs"/>
                <w:rtl/>
              </w:rPr>
              <w:t>(2)</w:t>
            </w:r>
            <w:r>
              <w:rPr>
                <w:rtl/>
              </w:rPr>
              <w:tab/>
            </w:r>
            <w:r>
              <w:rPr>
                <w:rFonts w:hint="cs"/>
                <w:rtl/>
              </w:rPr>
              <w:t>בסעיף קטן (ג), במקום "רשאי לחזור ולתת" יבוא "יחזור וייתן", ובמקום "24" יבוא "26";</w:t>
            </w:r>
          </w:p>
        </w:tc>
      </w:tr>
      <w:tr w:rsidR="009E3980" w14:paraId="3C58EDA5" w14:textId="77777777" w:rsidTr="004C3E44">
        <w:trPr>
          <w:cantSplit/>
        </w:trPr>
        <w:tc>
          <w:tcPr>
            <w:tcW w:w="1871" w:type="dxa"/>
          </w:tcPr>
          <w:p w14:paraId="09C30DC1" w14:textId="77777777" w:rsidR="009E3980" w:rsidRDefault="009E3980" w:rsidP="004C3E44">
            <w:pPr>
              <w:pStyle w:val="TableSideHeading"/>
              <w:rPr>
                <w:rtl/>
              </w:rPr>
            </w:pPr>
          </w:p>
        </w:tc>
        <w:tc>
          <w:tcPr>
            <w:tcW w:w="624" w:type="dxa"/>
          </w:tcPr>
          <w:p w14:paraId="1AF36AF3" w14:textId="77777777" w:rsidR="009E3980" w:rsidRDefault="009E3980" w:rsidP="004C3E44">
            <w:pPr>
              <w:pStyle w:val="TableText"/>
              <w:rPr>
                <w:rtl/>
              </w:rPr>
            </w:pPr>
          </w:p>
        </w:tc>
        <w:tc>
          <w:tcPr>
            <w:tcW w:w="7143" w:type="dxa"/>
            <w:gridSpan w:val="5"/>
          </w:tcPr>
          <w:p w14:paraId="075AAAD9" w14:textId="77777777" w:rsidR="009E3980" w:rsidRDefault="009E3980" w:rsidP="004C3E44">
            <w:pPr>
              <w:pStyle w:val="TableBlock"/>
              <w:rPr>
                <w:rtl/>
              </w:rPr>
            </w:pPr>
            <w:r>
              <w:rPr>
                <w:rFonts w:hint="cs"/>
                <w:rtl/>
              </w:rPr>
              <w:t>(3)</w:t>
            </w:r>
            <w:r>
              <w:rPr>
                <w:rtl/>
              </w:rPr>
              <w:tab/>
            </w:r>
            <w:r>
              <w:rPr>
                <w:rFonts w:hint="cs"/>
                <w:rtl/>
              </w:rPr>
              <w:t>בסעיף קטן (ד), במקום "24" יבוא "26".</w:t>
            </w:r>
          </w:p>
        </w:tc>
      </w:tr>
      <w:tr w:rsidR="009E3980" w14:paraId="2AE044D6" w14:textId="77777777" w:rsidTr="004C3E44">
        <w:trPr>
          <w:cantSplit/>
        </w:trPr>
        <w:tc>
          <w:tcPr>
            <w:tcW w:w="1871" w:type="dxa"/>
          </w:tcPr>
          <w:p w14:paraId="3AA1B03A" w14:textId="77777777" w:rsidR="009E3980" w:rsidRDefault="009E3980" w:rsidP="004C3E44">
            <w:pPr>
              <w:pStyle w:val="TableSideHeading"/>
            </w:pPr>
            <w:r>
              <w:rPr>
                <w:rFonts w:hint="cs"/>
                <w:rtl/>
              </w:rPr>
              <w:t>תיקון סעיף 26יא</w:t>
            </w:r>
          </w:p>
        </w:tc>
        <w:tc>
          <w:tcPr>
            <w:tcW w:w="624" w:type="dxa"/>
          </w:tcPr>
          <w:p w14:paraId="67F28061" w14:textId="77777777" w:rsidR="009E3980" w:rsidRDefault="009E3980" w:rsidP="004C3E44">
            <w:pPr>
              <w:pStyle w:val="TableText"/>
            </w:pPr>
            <w:r>
              <w:rPr>
                <w:rFonts w:hint="cs"/>
                <w:rtl/>
              </w:rPr>
              <w:t>6.</w:t>
            </w:r>
          </w:p>
        </w:tc>
        <w:tc>
          <w:tcPr>
            <w:tcW w:w="7143" w:type="dxa"/>
            <w:gridSpan w:val="5"/>
          </w:tcPr>
          <w:p w14:paraId="5D33E4E0" w14:textId="77777777" w:rsidR="009E3980" w:rsidRPr="00C34DE2" w:rsidRDefault="009E3980" w:rsidP="004C3E44">
            <w:pPr>
              <w:pStyle w:val="TableBlock"/>
            </w:pPr>
            <w:r>
              <w:rPr>
                <w:rFonts w:hint="cs"/>
                <w:rtl/>
              </w:rPr>
              <w:t xml:space="preserve">בסעיף 26יא לחוק העיקרי </w:t>
            </w:r>
            <w:r>
              <w:rPr>
                <w:rFonts w:hint="eastAsia"/>
                <w:rtl/>
              </w:rPr>
              <w:t>–</w:t>
            </w:r>
          </w:p>
        </w:tc>
      </w:tr>
      <w:tr w:rsidR="009E3980" w14:paraId="76562446" w14:textId="77777777" w:rsidTr="004C3E44">
        <w:trPr>
          <w:cantSplit/>
        </w:trPr>
        <w:tc>
          <w:tcPr>
            <w:tcW w:w="1871" w:type="dxa"/>
          </w:tcPr>
          <w:p w14:paraId="78BD88F3" w14:textId="77777777" w:rsidR="009E3980" w:rsidRDefault="009E3980" w:rsidP="004C3E44">
            <w:pPr>
              <w:pStyle w:val="TableSideHeading"/>
            </w:pPr>
          </w:p>
        </w:tc>
        <w:tc>
          <w:tcPr>
            <w:tcW w:w="624" w:type="dxa"/>
          </w:tcPr>
          <w:p w14:paraId="1A3BCFDC" w14:textId="77777777" w:rsidR="009E3980" w:rsidRDefault="009E3980" w:rsidP="004C3E44">
            <w:pPr>
              <w:pStyle w:val="TableText"/>
            </w:pPr>
          </w:p>
        </w:tc>
        <w:tc>
          <w:tcPr>
            <w:tcW w:w="7143" w:type="dxa"/>
            <w:gridSpan w:val="5"/>
          </w:tcPr>
          <w:p w14:paraId="03A1EEE3" w14:textId="77777777" w:rsidR="009E3980" w:rsidRDefault="009E3980" w:rsidP="004C3E44">
            <w:pPr>
              <w:pStyle w:val="TableBlock"/>
              <w:rPr>
                <w:rtl/>
              </w:rPr>
            </w:pPr>
            <w:r>
              <w:rPr>
                <w:rFonts w:hint="cs"/>
                <w:rtl/>
              </w:rPr>
              <w:t>(1)</w:t>
            </w:r>
            <w:r>
              <w:rPr>
                <w:rtl/>
              </w:rPr>
              <w:tab/>
            </w:r>
            <w:r>
              <w:rPr>
                <w:rFonts w:hint="cs"/>
                <w:rtl/>
              </w:rPr>
              <w:t>במקום סעיף קטן (א) יבוא:</w:t>
            </w:r>
          </w:p>
        </w:tc>
      </w:tr>
      <w:tr w:rsidR="009E3980" w14:paraId="27741277" w14:textId="77777777" w:rsidTr="004C3E44">
        <w:trPr>
          <w:cantSplit/>
        </w:trPr>
        <w:tc>
          <w:tcPr>
            <w:tcW w:w="1871" w:type="dxa"/>
          </w:tcPr>
          <w:p w14:paraId="61BA78E7" w14:textId="77777777" w:rsidR="009E3980" w:rsidRDefault="009E3980" w:rsidP="004C3E44">
            <w:pPr>
              <w:pStyle w:val="TableSideHeading"/>
            </w:pPr>
          </w:p>
        </w:tc>
        <w:tc>
          <w:tcPr>
            <w:tcW w:w="624" w:type="dxa"/>
          </w:tcPr>
          <w:p w14:paraId="49BD3047" w14:textId="77777777" w:rsidR="009E3980" w:rsidRDefault="009E3980" w:rsidP="004C3E44">
            <w:pPr>
              <w:pStyle w:val="TableText"/>
            </w:pPr>
          </w:p>
        </w:tc>
        <w:tc>
          <w:tcPr>
            <w:tcW w:w="624" w:type="dxa"/>
          </w:tcPr>
          <w:p w14:paraId="79F1DF05" w14:textId="77777777" w:rsidR="009E3980" w:rsidRDefault="009E3980" w:rsidP="004C3E44">
            <w:pPr>
              <w:pStyle w:val="TableText"/>
            </w:pPr>
          </w:p>
        </w:tc>
        <w:tc>
          <w:tcPr>
            <w:tcW w:w="6519" w:type="dxa"/>
            <w:gridSpan w:val="4"/>
          </w:tcPr>
          <w:p w14:paraId="4F05AABE" w14:textId="7CC8515B" w:rsidR="009E3980" w:rsidRDefault="009E3980" w:rsidP="004C3E44">
            <w:pPr>
              <w:pStyle w:val="TableBlock"/>
            </w:pPr>
            <w:r>
              <w:rPr>
                <w:rFonts w:hint="cs"/>
                <w:rtl/>
              </w:rPr>
              <w:t>"(א)</w:t>
            </w:r>
            <w:r>
              <w:rPr>
                <w:rtl/>
              </w:rPr>
              <w:tab/>
            </w:r>
            <w:r w:rsidRPr="002F2903">
              <w:rPr>
                <w:rtl/>
              </w:rPr>
              <w:t xml:space="preserve">שר הביטחון, לבקשת מיועד לשירות ביטחון שהוא תלמיד ישיבה שימלאו לו 18 שנים במהלך תקופת ההסתגלות, </w:t>
            </w:r>
            <w:r>
              <w:rPr>
                <w:rFonts w:hint="cs"/>
                <w:rtl/>
              </w:rPr>
              <w:t>ידחה</w:t>
            </w:r>
            <w:r w:rsidRPr="002F2903">
              <w:rPr>
                <w:rtl/>
              </w:rPr>
              <w:t xml:space="preserve"> בצו, את מועד התייצבותו של המבקש לשירות סדיר,</w:t>
            </w:r>
            <w:r>
              <w:rPr>
                <w:rFonts w:hint="cs"/>
                <w:rtl/>
              </w:rPr>
              <w:t xml:space="preserve"> זולת</w:t>
            </w:r>
            <w:r w:rsidRPr="002F2903">
              <w:rPr>
                <w:rtl/>
              </w:rPr>
              <w:t xml:space="preserve"> אם מצא כי </w:t>
            </w:r>
            <w:r>
              <w:rPr>
                <w:rFonts w:hint="cs"/>
                <w:rtl/>
              </w:rPr>
              <w:t>לא ניתן</w:t>
            </w:r>
            <w:r w:rsidRPr="002F2903">
              <w:rPr>
                <w:rtl/>
              </w:rPr>
              <w:t xml:space="preserve"> לעשות כן בהתחשב בצורכי הביטחון ובהיקף הכוחות הסדירים.</w:t>
            </w:r>
            <w:r>
              <w:rPr>
                <w:rFonts w:hint="cs"/>
                <w:rtl/>
              </w:rPr>
              <w:t>"</w:t>
            </w:r>
            <w:r w:rsidR="00F949A8">
              <w:rPr>
                <w:rFonts w:hint="cs"/>
                <w:rtl/>
              </w:rPr>
              <w:t>;</w:t>
            </w:r>
          </w:p>
        </w:tc>
      </w:tr>
      <w:tr w:rsidR="009E3980" w14:paraId="78835650" w14:textId="77777777" w:rsidTr="004C3E44">
        <w:trPr>
          <w:cantSplit/>
        </w:trPr>
        <w:tc>
          <w:tcPr>
            <w:tcW w:w="1871" w:type="dxa"/>
          </w:tcPr>
          <w:p w14:paraId="2AF53819" w14:textId="77777777" w:rsidR="009E3980" w:rsidRDefault="009E3980" w:rsidP="004C3E44">
            <w:pPr>
              <w:pStyle w:val="TableSideHeading"/>
            </w:pPr>
          </w:p>
        </w:tc>
        <w:tc>
          <w:tcPr>
            <w:tcW w:w="624" w:type="dxa"/>
          </w:tcPr>
          <w:p w14:paraId="1C75DAE5" w14:textId="77777777" w:rsidR="009E3980" w:rsidRDefault="009E3980" w:rsidP="004C3E44">
            <w:pPr>
              <w:pStyle w:val="TableText"/>
            </w:pPr>
          </w:p>
        </w:tc>
        <w:tc>
          <w:tcPr>
            <w:tcW w:w="7143" w:type="dxa"/>
            <w:gridSpan w:val="5"/>
          </w:tcPr>
          <w:p w14:paraId="705B456D" w14:textId="77777777" w:rsidR="009E3980" w:rsidRDefault="009E3980" w:rsidP="004C3E44">
            <w:pPr>
              <w:pStyle w:val="TableBlock"/>
            </w:pPr>
            <w:r>
              <w:rPr>
                <w:rFonts w:hint="cs"/>
                <w:rtl/>
              </w:rPr>
              <w:t>(2)</w:t>
            </w:r>
            <w:r>
              <w:rPr>
                <w:rtl/>
              </w:rPr>
              <w:tab/>
            </w:r>
            <w:r>
              <w:rPr>
                <w:rFonts w:hint="cs"/>
                <w:rtl/>
              </w:rPr>
              <w:t>במקום סעיף קטן (ג) יבוא:</w:t>
            </w:r>
          </w:p>
        </w:tc>
      </w:tr>
      <w:tr w:rsidR="009E3980" w14:paraId="2CE254F2" w14:textId="77777777" w:rsidTr="004C3E44">
        <w:trPr>
          <w:cantSplit/>
        </w:trPr>
        <w:tc>
          <w:tcPr>
            <w:tcW w:w="1871" w:type="dxa"/>
          </w:tcPr>
          <w:p w14:paraId="619334AB" w14:textId="77777777" w:rsidR="009E3980" w:rsidRDefault="009E3980" w:rsidP="004C3E44">
            <w:pPr>
              <w:pStyle w:val="TableSideHeading"/>
            </w:pPr>
          </w:p>
        </w:tc>
        <w:tc>
          <w:tcPr>
            <w:tcW w:w="624" w:type="dxa"/>
          </w:tcPr>
          <w:p w14:paraId="67587CD4" w14:textId="77777777" w:rsidR="009E3980" w:rsidRDefault="009E3980" w:rsidP="004C3E44">
            <w:pPr>
              <w:pStyle w:val="TableText"/>
            </w:pPr>
          </w:p>
        </w:tc>
        <w:tc>
          <w:tcPr>
            <w:tcW w:w="624" w:type="dxa"/>
          </w:tcPr>
          <w:p w14:paraId="48B9C2C2" w14:textId="77777777" w:rsidR="009E3980" w:rsidRDefault="009E3980" w:rsidP="004C3E44">
            <w:pPr>
              <w:pStyle w:val="TableText"/>
            </w:pPr>
          </w:p>
        </w:tc>
        <w:tc>
          <w:tcPr>
            <w:tcW w:w="6519" w:type="dxa"/>
            <w:gridSpan w:val="4"/>
          </w:tcPr>
          <w:p w14:paraId="19715BFA" w14:textId="2BE5FCEE" w:rsidR="009E3980" w:rsidRPr="00C46BE0" w:rsidRDefault="009E3980" w:rsidP="004C3E44">
            <w:pPr>
              <w:pStyle w:val="TableBlock"/>
            </w:pPr>
            <w:r>
              <w:rPr>
                <w:rFonts w:hint="cs"/>
                <w:rtl/>
              </w:rPr>
              <w:t>"(ג)</w:t>
            </w:r>
            <w:r>
              <w:rPr>
                <w:rtl/>
              </w:rPr>
              <w:tab/>
            </w:r>
            <w:r w:rsidRPr="00C46BE0">
              <w:rPr>
                <w:rtl/>
              </w:rPr>
              <w:t xml:space="preserve">שר הביטחון </w:t>
            </w:r>
            <w:r>
              <w:rPr>
                <w:rFonts w:hint="cs"/>
                <w:rtl/>
              </w:rPr>
              <w:t>יחזור וייתן</w:t>
            </w:r>
            <w:r w:rsidRPr="00C46BE0">
              <w:rPr>
                <w:rtl/>
              </w:rPr>
              <w:t xml:space="preserve"> במהלך תקופת ההסתגלות למיועד לשירות ביטחון כאמור בסעיף קטן (א) צו דחיית שירות לפי סעיף זה, עד הגיעו לגיל 2</w:t>
            </w:r>
            <w:r>
              <w:rPr>
                <w:rFonts w:hint="cs"/>
                <w:rtl/>
              </w:rPr>
              <w:t>6</w:t>
            </w:r>
            <w:r w:rsidRPr="00C46BE0">
              <w:rPr>
                <w:rtl/>
              </w:rPr>
              <w:t>.</w:t>
            </w:r>
            <w:r>
              <w:rPr>
                <w:rFonts w:hint="cs"/>
                <w:rtl/>
              </w:rPr>
              <w:t>"</w:t>
            </w:r>
            <w:r w:rsidR="00F949A8">
              <w:rPr>
                <w:rFonts w:hint="cs"/>
                <w:rtl/>
              </w:rPr>
              <w:t>;</w:t>
            </w:r>
          </w:p>
        </w:tc>
      </w:tr>
      <w:tr w:rsidR="009E3980" w14:paraId="47692FE8" w14:textId="77777777" w:rsidTr="004C3E44">
        <w:trPr>
          <w:cantSplit/>
        </w:trPr>
        <w:tc>
          <w:tcPr>
            <w:tcW w:w="1871" w:type="dxa"/>
          </w:tcPr>
          <w:p w14:paraId="01E19A90" w14:textId="77777777" w:rsidR="009E3980" w:rsidRDefault="009E3980" w:rsidP="004C3E44">
            <w:pPr>
              <w:pStyle w:val="TableSideHeading"/>
            </w:pPr>
          </w:p>
        </w:tc>
        <w:tc>
          <w:tcPr>
            <w:tcW w:w="624" w:type="dxa"/>
          </w:tcPr>
          <w:p w14:paraId="46F34733" w14:textId="77777777" w:rsidR="009E3980" w:rsidRDefault="009E3980" w:rsidP="004C3E44">
            <w:pPr>
              <w:pStyle w:val="TableText"/>
            </w:pPr>
          </w:p>
        </w:tc>
        <w:tc>
          <w:tcPr>
            <w:tcW w:w="7143" w:type="dxa"/>
            <w:gridSpan w:val="5"/>
          </w:tcPr>
          <w:p w14:paraId="7DFF54E7" w14:textId="77777777" w:rsidR="009E3980" w:rsidRDefault="009E3980" w:rsidP="004C3E44">
            <w:pPr>
              <w:pStyle w:val="TableBlock"/>
            </w:pPr>
            <w:r>
              <w:rPr>
                <w:rFonts w:hint="cs"/>
                <w:rtl/>
              </w:rPr>
              <w:t>(3)</w:t>
            </w:r>
            <w:r>
              <w:rPr>
                <w:rtl/>
              </w:rPr>
              <w:tab/>
            </w:r>
            <w:r>
              <w:rPr>
                <w:rFonts w:hint="cs"/>
                <w:rtl/>
              </w:rPr>
              <w:t>במקום סעיף קטן (ד) יבוא:</w:t>
            </w:r>
          </w:p>
        </w:tc>
      </w:tr>
      <w:tr w:rsidR="009E3980" w14:paraId="4EF23DDB" w14:textId="77777777" w:rsidTr="004C3E44">
        <w:trPr>
          <w:cantSplit/>
        </w:trPr>
        <w:tc>
          <w:tcPr>
            <w:tcW w:w="1871" w:type="dxa"/>
          </w:tcPr>
          <w:p w14:paraId="295FB937" w14:textId="77777777" w:rsidR="009E3980" w:rsidRDefault="009E3980" w:rsidP="004C3E44">
            <w:pPr>
              <w:pStyle w:val="TableSideHeading"/>
            </w:pPr>
          </w:p>
        </w:tc>
        <w:tc>
          <w:tcPr>
            <w:tcW w:w="624" w:type="dxa"/>
          </w:tcPr>
          <w:p w14:paraId="585135F7" w14:textId="77777777" w:rsidR="009E3980" w:rsidRDefault="009E3980" w:rsidP="004C3E44">
            <w:pPr>
              <w:pStyle w:val="TableText"/>
            </w:pPr>
          </w:p>
        </w:tc>
        <w:tc>
          <w:tcPr>
            <w:tcW w:w="624" w:type="dxa"/>
          </w:tcPr>
          <w:p w14:paraId="3E902D68" w14:textId="77777777" w:rsidR="009E3980" w:rsidRDefault="009E3980" w:rsidP="004C3E44">
            <w:pPr>
              <w:pStyle w:val="TableText"/>
            </w:pPr>
          </w:p>
        </w:tc>
        <w:tc>
          <w:tcPr>
            <w:tcW w:w="6519" w:type="dxa"/>
            <w:gridSpan w:val="4"/>
          </w:tcPr>
          <w:p w14:paraId="3C2ABF1B" w14:textId="77777777" w:rsidR="009E3980" w:rsidRDefault="009E3980" w:rsidP="004C3E44">
            <w:pPr>
              <w:pStyle w:val="TableBlock"/>
            </w:pPr>
            <w:r>
              <w:rPr>
                <w:rFonts w:hint="cs"/>
                <w:rtl/>
              </w:rPr>
              <w:t>"(ד)</w:t>
            </w:r>
            <w:r>
              <w:rPr>
                <w:rtl/>
              </w:rPr>
              <w:tab/>
            </w:r>
            <w:r>
              <w:rPr>
                <w:rFonts w:hint="cs"/>
                <w:rtl/>
              </w:rPr>
              <w:t>שר הביטחון יחזור וייתן למיועד לשירות ביטחון שמועד התייצבותו לשירות סדיר נדחה לפי סעיף זה ומלאו לו 21 שנים בתקופת ההסתגלות צו דחיית שירות לתקופה נוספת, שלא תעלה על שנה בכל פעם."</w:t>
            </w:r>
          </w:p>
        </w:tc>
      </w:tr>
      <w:tr w:rsidR="009E3980" w14:paraId="4CA34316" w14:textId="77777777" w:rsidTr="004C3E44">
        <w:trPr>
          <w:cantSplit/>
        </w:trPr>
        <w:tc>
          <w:tcPr>
            <w:tcW w:w="1871" w:type="dxa"/>
          </w:tcPr>
          <w:p w14:paraId="3E3BEC9A" w14:textId="77777777" w:rsidR="009E3980" w:rsidRPr="0035044C" w:rsidRDefault="009E3980" w:rsidP="004C3E44">
            <w:pPr>
              <w:pStyle w:val="TableSideHeading"/>
            </w:pPr>
            <w:r w:rsidRPr="0035044C">
              <w:rPr>
                <w:rFonts w:hint="eastAsia"/>
                <w:rtl/>
              </w:rPr>
              <w:t>תיקון</w:t>
            </w:r>
            <w:r w:rsidRPr="0035044C">
              <w:rPr>
                <w:rtl/>
              </w:rPr>
              <w:t xml:space="preserve"> </w:t>
            </w:r>
            <w:r w:rsidRPr="0035044C">
              <w:rPr>
                <w:rFonts w:hint="eastAsia"/>
                <w:rtl/>
              </w:rPr>
              <w:t>סעיף</w:t>
            </w:r>
            <w:r w:rsidRPr="0035044C">
              <w:rPr>
                <w:rtl/>
              </w:rPr>
              <w:t xml:space="preserve"> 26יג</w:t>
            </w:r>
          </w:p>
        </w:tc>
        <w:tc>
          <w:tcPr>
            <w:tcW w:w="624" w:type="dxa"/>
          </w:tcPr>
          <w:p w14:paraId="1BF094F5" w14:textId="77777777" w:rsidR="009E3980" w:rsidRPr="0035044C" w:rsidRDefault="009E3980" w:rsidP="004C3E44">
            <w:pPr>
              <w:pStyle w:val="TableText"/>
            </w:pPr>
            <w:r w:rsidRPr="0035044C">
              <w:rPr>
                <w:rtl/>
              </w:rPr>
              <w:t>7.</w:t>
            </w:r>
          </w:p>
        </w:tc>
        <w:tc>
          <w:tcPr>
            <w:tcW w:w="7143" w:type="dxa"/>
            <w:gridSpan w:val="5"/>
          </w:tcPr>
          <w:p w14:paraId="778F39A4" w14:textId="4EC5CD79" w:rsidR="009E3980" w:rsidRPr="0035044C" w:rsidRDefault="009E3980" w:rsidP="004C3E44">
            <w:pPr>
              <w:pStyle w:val="TableBlock"/>
            </w:pPr>
            <w:r w:rsidRPr="0035044C">
              <w:rPr>
                <w:rFonts w:hint="eastAsia"/>
                <w:rtl/>
              </w:rPr>
              <w:t>בסעיף</w:t>
            </w:r>
            <w:r w:rsidRPr="0035044C">
              <w:rPr>
                <w:rtl/>
              </w:rPr>
              <w:t xml:space="preserve"> 26יג </w:t>
            </w:r>
            <w:r w:rsidRPr="0035044C">
              <w:rPr>
                <w:rFonts w:hint="eastAsia"/>
                <w:rtl/>
              </w:rPr>
              <w:t>לחוק</w:t>
            </w:r>
            <w:r w:rsidRPr="0035044C">
              <w:rPr>
                <w:rtl/>
              </w:rPr>
              <w:t xml:space="preserve"> </w:t>
            </w:r>
            <w:r w:rsidRPr="0035044C">
              <w:rPr>
                <w:rFonts w:hint="eastAsia"/>
                <w:rtl/>
              </w:rPr>
              <w:t>העיקרי</w:t>
            </w:r>
            <w:r w:rsidRPr="0035044C">
              <w:rPr>
                <w:rtl/>
              </w:rPr>
              <w:t xml:space="preserve">, </w:t>
            </w:r>
            <w:r w:rsidRPr="0035044C">
              <w:rPr>
                <w:rFonts w:hint="eastAsia"/>
                <w:rtl/>
              </w:rPr>
              <w:t>במקום</w:t>
            </w:r>
            <w:r w:rsidR="00F949A8">
              <w:rPr>
                <w:rtl/>
              </w:rPr>
              <w:t xml:space="preserve"> "</w:t>
            </w:r>
            <w:r w:rsidRPr="0035044C">
              <w:rPr>
                <w:rtl/>
              </w:rPr>
              <w:t>בסעיף</w:t>
            </w:r>
            <w:r>
              <w:rPr>
                <w:rFonts w:hint="cs"/>
                <w:rtl/>
              </w:rPr>
              <w:t xml:space="preserve"> זה</w:t>
            </w:r>
            <w:r w:rsidRPr="0035044C">
              <w:rPr>
                <w:rtl/>
              </w:rPr>
              <w:t xml:space="preserve">" </w:t>
            </w:r>
            <w:r w:rsidRPr="0035044C">
              <w:rPr>
                <w:rFonts w:hint="eastAsia"/>
                <w:rtl/>
              </w:rPr>
              <w:t>יבוא</w:t>
            </w:r>
            <w:r w:rsidR="00F949A8">
              <w:rPr>
                <w:rtl/>
              </w:rPr>
              <w:t xml:space="preserve"> "</w:t>
            </w:r>
            <w:r w:rsidRPr="0035044C">
              <w:rPr>
                <w:rtl/>
              </w:rPr>
              <w:t>בפרק</w:t>
            </w:r>
            <w:r>
              <w:rPr>
                <w:rFonts w:hint="cs"/>
                <w:rtl/>
              </w:rPr>
              <w:t xml:space="preserve"> זה</w:t>
            </w:r>
            <w:r w:rsidRPr="0035044C">
              <w:rPr>
                <w:rtl/>
              </w:rPr>
              <w:t xml:space="preserve">". </w:t>
            </w:r>
          </w:p>
        </w:tc>
      </w:tr>
      <w:tr w:rsidR="009E3980" w14:paraId="2C779224" w14:textId="77777777" w:rsidTr="004C3E44">
        <w:trPr>
          <w:cantSplit/>
        </w:trPr>
        <w:tc>
          <w:tcPr>
            <w:tcW w:w="1871" w:type="dxa"/>
          </w:tcPr>
          <w:p w14:paraId="2E517C3C" w14:textId="77777777" w:rsidR="009E3980" w:rsidRDefault="009E3980" w:rsidP="004C3E44">
            <w:pPr>
              <w:pStyle w:val="TableSideHeading"/>
              <w:rPr>
                <w:rtl/>
              </w:rPr>
            </w:pPr>
            <w:r>
              <w:rPr>
                <w:rFonts w:hint="cs"/>
                <w:rtl/>
              </w:rPr>
              <w:t>תיקון סעיף 26טו</w:t>
            </w:r>
          </w:p>
        </w:tc>
        <w:tc>
          <w:tcPr>
            <w:tcW w:w="624" w:type="dxa"/>
          </w:tcPr>
          <w:p w14:paraId="0717CA17" w14:textId="77777777" w:rsidR="009E3980" w:rsidRDefault="009E3980" w:rsidP="004C3E44">
            <w:pPr>
              <w:pStyle w:val="TableText"/>
              <w:rPr>
                <w:rtl/>
              </w:rPr>
            </w:pPr>
            <w:r>
              <w:rPr>
                <w:rFonts w:hint="cs"/>
                <w:rtl/>
              </w:rPr>
              <w:t>8.</w:t>
            </w:r>
          </w:p>
        </w:tc>
        <w:tc>
          <w:tcPr>
            <w:tcW w:w="7143" w:type="dxa"/>
            <w:gridSpan w:val="5"/>
          </w:tcPr>
          <w:p w14:paraId="36B081FD" w14:textId="77777777" w:rsidR="009E3980" w:rsidRDefault="009E3980" w:rsidP="004C3E44">
            <w:pPr>
              <w:pStyle w:val="TableBlock"/>
              <w:rPr>
                <w:rtl/>
              </w:rPr>
            </w:pPr>
            <w:r>
              <w:rPr>
                <w:rFonts w:hint="cs"/>
                <w:rtl/>
              </w:rPr>
              <w:t xml:space="preserve">בסעיף 26טו לחוק העיקרי </w:t>
            </w:r>
            <w:r>
              <w:rPr>
                <w:rFonts w:hint="eastAsia"/>
                <w:rtl/>
              </w:rPr>
              <w:t>–</w:t>
            </w:r>
            <w:r>
              <w:rPr>
                <w:rFonts w:hint="cs"/>
                <w:rtl/>
              </w:rPr>
              <w:t xml:space="preserve"> </w:t>
            </w:r>
          </w:p>
        </w:tc>
      </w:tr>
      <w:tr w:rsidR="009E3980" w14:paraId="7B27D57E" w14:textId="77777777" w:rsidTr="004C3E44">
        <w:trPr>
          <w:cantSplit/>
        </w:trPr>
        <w:tc>
          <w:tcPr>
            <w:tcW w:w="1871" w:type="dxa"/>
          </w:tcPr>
          <w:p w14:paraId="022E30A5" w14:textId="77777777" w:rsidR="009E3980" w:rsidRDefault="009E3980" w:rsidP="004C3E44">
            <w:pPr>
              <w:pStyle w:val="TableSideHeading"/>
            </w:pPr>
          </w:p>
        </w:tc>
        <w:tc>
          <w:tcPr>
            <w:tcW w:w="624" w:type="dxa"/>
          </w:tcPr>
          <w:p w14:paraId="410CDAF2" w14:textId="77777777" w:rsidR="009E3980" w:rsidRDefault="009E3980" w:rsidP="004C3E44">
            <w:pPr>
              <w:pStyle w:val="TableText"/>
            </w:pPr>
          </w:p>
        </w:tc>
        <w:tc>
          <w:tcPr>
            <w:tcW w:w="7143" w:type="dxa"/>
            <w:gridSpan w:val="5"/>
          </w:tcPr>
          <w:p w14:paraId="253847D1" w14:textId="675149F9" w:rsidR="009E3980" w:rsidRDefault="009E3980" w:rsidP="004C3E44">
            <w:pPr>
              <w:pStyle w:val="TableBlock"/>
            </w:pPr>
            <w:r>
              <w:rPr>
                <w:rFonts w:hint="cs"/>
                <w:rtl/>
              </w:rPr>
              <w:t>(1)</w:t>
            </w:r>
            <w:r>
              <w:rPr>
                <w:rtl/>
              </w:rPr>
              <w:tab/>
            </w:r>
            <w:r>
              <w:rPr>
                <w:rFonts w:hint="cs"/>
                <w:rtl/>
              </w:rPr>
              <w:t>בסעיף קטן (א), בהגדרה "בוגר מוסד חינוך חרדי", בסופה</w:t>
            </w:r>
            <w:r w:rsidR="00F949A8">
              <w:rPr>
                <w:rFonts w:hint="cs"/>
                <w:rtl/>
              </w:rPr>
              <w:t xml:space="preserve"> יבוא </w:t>
            </w:r>
            <w:r>
              <w:rPr>
                <w:rFonts w:hint="cs"/>
                <w:rtl/>
              </w:rPr>
              <w:t>"ובלבד שלא הודיע לפוקד כ</w:t>
            </w:r>
            <w:r w:rsidR="00F949A8">
              <w:rPr>
                <w:rFonts w:hint="cs"/>
                <w:rtl/>
              </w:rPr>
              <w:t>י הוא איננו שומר תורה ומצוות;";</w:t>
            </w:r>
          </w:p>
        </w:tc>
      </w:tr>
      <w:tr w:rsidR="009E3980" w14:paraId="3854ECA9" w14:textId="77777777" w:rsidTr="004C3E44">
        <w:trPr>
          <w:cantSplit/>
        </w:trPr>
        <w:tc>
          <w:tcPr>
            <w:tcW w:w="1871" w:type="dxa"/>
          </w:tcPr>
          <w:p w14:paraId="4236484C" w14:textId="77777777" w:rsidR="009E3980" w:rsidRDefault="009E3980" w:rsidP="004C3E44">
            <w:pPr>
              <w:pStyle w:val="TableSideHeading"/>
            </w:pPr>
          </w:p>
        </w:tc>
        <w:tc>
          <w:tcPr>
            <w:tcW w:w="624" w:type="dxa"/>
          </w:tcPr>
          <w:p w14:paraId="37805976" w14:textId="77777777" w:rsidR="009E3980" w:rsidRDefault="009E3980" w:rsidP="004C3E44">
            <w:pPr>
              <w:pStyle w:val="TableText"/>
            </w:pPr>
          </w:p>
        </w:tc>
        <w:tc>
          <w:tcPr>
            <w:tcW w:w="7143" w:type="dxa"/>
            <w:gridSpan w:val="5"/>
          </w:tcPr>
          <w:p w14:paraId="51F4D324" w14:textId="77777777" w:rsidR="009E3980" w:rsidRDefault="009E3980" w:rsidP="004C3E44">
            <w:pPr>
              <w:pStyle w:val="TableBlock"/>
              <w:rPr>
                <w:rtl/>
              </w:rPr>
            </w:pPr>
            <w:r>
              <w:rPr>
                <w:rFonts w:hint="cs"/>
                <w:rtl/>
              </w:rPr>
              <w:t>(2)</w:t>
            </w:r>
            <w:r>
              <w:rPr>
                <w:rtl/>
              </w:rPr>
              <w:tab/>
            </w:r>
            <w:r>
              <w:rPr>
                <w:rFonts w:hint="cs"/>
                <w:rtl/>
              </w:rPr>
              <w:t xml:space="preserve">במקום סעיף קטן (ב) יבוא: </w:t>
            </w:r>
          </w:p>
        </w:tc>
      </w:tr>
      <w:tr w:rsidR="009E3980" w14:paraId="417AE938" w14:textId="77777777" w:rsidTr="004C3E44">
        <w:trPr>
          <w:cantSplit/>
        </w:trPr>
        <w:tc>
          <w:tcPr>
            <w:tcW w:w="1871" w:type="dxa"/>
          </w:tcPr>
          <w:p w14:paraId="2D07EE68" w14:textId="77777777" w:rsidR="009E3980" w:rsidRDefault="009E3980" w:rsidP="004C3E44">
            <w:pPr>
              <w:pStyle w:val="TableSideHeading"/>
            </w:pPr>
          </w:p>
        </w:tc>
        <w:tc>
          <w:tcPr>
            <w:tcW w:w="624" w:type="dxa"/>
          </w:tcPr>
          <w:p w14:paraId="2451CB8C" w14:textId="77777777" w:rsidR="009E3980" w:rsidRDefault="009E3980" w:rsidP="004C3E44">
            <w:pPr>
              <w:pStyle w:val="TableText"/>
            </w:pPr>
          </w:p>
        </w:tc>
        <w:tc>
          <w:tcPr>
            <w:tcW w:w="624" w:type="dxa"/>
          </w:tcPr>
          <w:p w14:paraId="70FA8370" w14:textId="77777777" w:rsidR="009E3980" w:rsidRDefault="009E3980" w:rsidP="004C3E44">
            <w:pPr>
              <w:pStyle w:val="TableText"/>
            </w:pPr>
          </w:p>
        </w:tc>
        <w:tc>
          <w:tcPr>
            <w:tcW w:w="6519" w:type="dxa"/>
            <w:gridSpan w:val="4"/>
          </w:tcPr>
          <w:p w14:paraId="559147C3" w14:textId="23BFED42" w:rsidR="009E3980" w:rsidRPr="004E4156" w:rsidRDefault="009E3980" w:rsidP="00F949A8">
            <w:pPr>
              <w:pStyle w:val="TableBlock"/>
            </w:pPr>
            <w:r>
              <w:rPr>
                <w:rFonts w:hint="cs"/>
                <w:rtl/>
              </w:rPr>
              <w:t>"(ב)</w:t>
            </w:r>
            <w:r>
              <w:rPr>
                <w:rtl/>
              </w:rPr>
              <w:tab/>
            </w:r>
            <w:r>
              <w:rPr>
                <w:rFonts w:hint="cs"/>
                <w:rtl/>
              </w:rPr>
              <w:t>הממשלה תפעל בתקופת ההסתגלות להגדלה הדרגתית של מספר המתגייסים בפועל לשירות סדיר ולשירות לאומי</w:t>
            </w:r>
            <w:r w:rsidR="00F949A8">
              <w:rPr>
                <w:rFonts w:hint="eastAsia"/>
                <w:rtl/>
              </w:rPr>
              <w:t>–</w:t>
            </w:r>
            <w:r>
              <w:rPr>
                <w:rFonts w:hint="cs"/>
                <w:rtl/>
              </w:rPr>
              <w:t xml:space="preserve">אזרחי (בסעיף זה </w:t>
            </w:r>
            <w:r>
              <w:rPr>
                <w:rFonts w:hint="eastAsia"/>
                <w:rtl/>
              </w:rPr>
              <w:t>–</w:t>
            </w:r>
            <w:r>
              <w:rPr>
                <w:rFonts w:hint="cs"/>
                <w:rtl/>
              </w:rPr>
              <w:t xml:space="preserve"> גיוס לשירות) מקרב תלמידי הישיבות ובוגרי מוסדות החינוך החרדים, בשים לב להוראות חוק-יסוד: לימוד תורה."</w:t>
            </w:r>
            <w:r w:rsidR="00F949A8">
              <w:rPr>
                <w:rFonts w:hint="cs"/>
                <w:rtl/>
              </w:rPr>
              <w:t>;</w:t>
            </w:r>
            <w:r>
              <w:rPr>
                <w:rFonts w:hint="cs"/>
                <w:rtl/>
              </w:rPr>
              <w:t xml:space="preserve"> </w:t>
            </w:r>
          </w:p>
        </w:tc>
      </w:tr>
      <w:tr w:rsidR="009E3980" w14:paraId="5E55DA94" w14:textId="77777777" w:rsidTr="004C3E44">
        <w:trPr>
          <w:cantSplit/>
        </w:trPr>
        <w:tc>
          <w:tcPr>
            <w:tcW w:w="1871" w:type="dxa"/>
          </w:tcPr>
          <w:p w14:paraId="2351D9F8" w14:textId="77777777" w:rsidR="009E3980" w:rsidRDefault="009E3980" w:rsidP="004C3E44">
            <w:pPr>
              <w:pStyle w:val="TableSideHeading"/>
            </w:pPr>
          </w:p>
        </w:tc>
        <w:tc>
          <w:tcPr>
            <w:tcW w:w="624" w:type="dxa"/>
          </w:tcPr>
          <w:p w14:paraId="1623C3A8" w14:textId="77777777" w:rsidR="009E3980" w:rsidRDefault="009E3980" w:rsidP="004C3E44">
            <w:pPr>
              <w:pStyle w:val="TableText"/>
            </w:pPr>
          </w:p>
        </w:tc>
        <w:tc>
          <w:tcPr>
            <w:tcW w:w="7143" w:type="dxa"/>
            <w:gridSpan w:val="5"/>
          </w:tcPr>
          <w:p w14:paraId="7515BF39" w14:textId="77777777" w:rsidR="009E3980" w:rsidRPr="004E4156" w:rsidRDefault="009E3980" w:rsidP="004C3E44">
            <w:pPr>
              <w:pStyle w:val="TableBlock"/>
            </w:pPr>
            <w:r>
              <w:rPr>
                <w:rFonts w:hint="cs"/>
                <w:rtl/>
              </w:rPr>
              <w:t>(3)</w:t>
            </w:r>
            <w:r>
              <w:rPr>
                <w:rtl/>
              </w:rPr>
              <w:tab/>
            </w:r>
            <w:r>
              <w:rPr>
                <w:rFonts w:hint="cs"/>
                <w:rtl/>
              </w:rPr>
              <w:t xml:space="preserve">בסעיף קטן (ג), ברישה, אחרי "תחליט הממשלה" יבוא "בשים לב להוראות חוק-יסוד: לימוד תורה" והמילים "הראשונה ובתקופת ההסתגלות השנייה" </w:t>
            </w:r>
            <w:r>
              <w:rPr>
                <w:rFonts w:hint="eastAsia"/>
                <w:rtl/>
              </w:rPr>
              <w:t>–</w:t>
            </w:r>
            <w:r>
              <w:rPr>
                <w:rFonts w:hint="cs"/>
                <w:rtl/>
              </w:rPr>
              <w:t xml:space="preserve"> יימחקו;</w:t>
            </w:r>
          </w:p>
        </w:tc>
      </w:tr>
      <w:tr w:rsidR="009E3980" w14:paraId="16078BED" w14:textId="77777777" w:rsidTr="004C3E44">
        <w:trPr>
          <w:cantSplit/>
        </w:trPr>
        <w:tc>
          <w:tcPr>
            <w:tcW w:w="1871" w:type="dxa"/>
          </w:tcPr>
          <w:p w14:paraId="1EAF36C2" w14:textId="77777777" w:rsidR="009E3980" w:rsidRDefault="009E3980" w:rsidP="004C3E44">
            <w:pPr>
              <w:pStyle w:val="TableSideHeading"/>
            </w:pPr>
          </w:p>
        </w:tc>
        <w:tc>
          <w:tcPr>
            <w:tcW w:w="624" w:type="dxa"/>
          </w:tcPr>
          <w:p w14:paraId="42D485E5" w14:textId="77777777" w:rsidR="009E3980" w:rsidRDefault="009E3980" w:rsidP="004C3E44">
            <w:pPr>
              <w:pStyle w:val="TableText"/>
            </w:pPr>
          </w:p>
        </w:tc>
        <w:tc>
          <w:tcPr>
            <w:tcW w:w="7143" w:type="dxa"/>
            <w:gridSpan w:val="5"/>
          </w:tcPr>
          <w:p w14:paraId="6E217EBA" w14:textId="77777777" w:rsidR="009E3980" w:rsidRDefault="009E3980" w:rsidP="004C3E44">
            <w:pPr>
              <w:pStyle w:val="TableBlock"/>
              <w:rPr>
                <w:rtl/>
              </w:rPr>
            </w:pPr>
            <w:r>
              <w:rPr>
                <w:rFonts w:hint="cs"/>
                <w:rtl/>
              </w:rPr>
              <w:t>(4)</w:t>
            </w:r>
            <w:r>
              <w:rPr>
                <w:rtl/>
              </w:rPr>
              <w:tab/>
            </w:r>
            <w:r>
              <w:rPr>
                <w:rFonts w:hint="cs"/>
                <w:rtl/>
              </w:rPr>
              <w:t>בסעיף קטן (ג1), בסופו יבוא "כמו גם לחשיבות לימוד התורה ולשירות המשמעותי שהוא מהווה לעם ולמדינה";</w:t>
            </w:r>
          </w:p>
        </w:tc>
      </w:tr>
      <w:tr w:rsidR="009E3980" w14:paraId="73DBB172" w14:textId="77777777" w:rsidTr="004C3E44">
        <w:trPr>
          <w:cantSplit/>
        </w:trPr>
        <w:tc>
          <w:tcPr>
            <w:tcW w:w="1871" w:type="dxa"/>
          </w:tcPr>
          <w:p w14:paraId="3A8FBB5F" w14:textId="77777777" w:rsidR="009E3980" w:rsidRDefault="009E3980" w:rsidP="004C3E44">
            <w:pPr>
              <w:pStyle w:val="TableSideHeading"/>
            </w:pPr>
          </w:p>
        </w:tc>
        <w:tc>
          <w:tcPr>
            <w:tcW w:w="624" w:type="dxa"/>
          </w:tcPr>
          <w:p w14:paraId="3713EECC" w14:textId="77777777" w:rsidR="009E3980" w:rsidRDefault="009E3980" w:rsidP="004C3E44">
            <w:pPr>
              <w:pStyle w:val="TableText"/>
            </w:pPr>
          </w:p>
        </w:tc>
        <w:tc>
          <w:tcPr>
            <w:tcW w:w="7143" w:type="dxa"/>
            <w:gridSpan w:val="5"/>
          </w:tcPr>
          <w:p w14:paraId="12BCE64C" w14:textId="644759B9" w:rsidR="009E3980" w:rsidRDefault="009E3980" w:rsidP="004C3E44">
            <w:pPr>
              <w:pStyle w:val="TableBlock"/>
              <w:rPr>
                <w:rtl/>
              </w:rPr>
            </w:pPr>
            <w:r>
              <w:rPr>
                <w:rFonts w:hint="cs"/>
                <w:rtl/>
              </w:rPr>
              <w:t>(5)</w:t>
            </w:r>
            <w:r>
              <w:rPr>
                <w:rtl/>
              </w:rPr>
              <w:tab/>
            </w:r>
            <w:r>
              <w:rPr>
                <w:rFonts w:hint="cs"/>
                <w:rtl/>
              </w:rPr>
              <w:t>בס</w:t>
            </w:r>
            <w:r w:rsidR="00F949A8">
              <w:rPr>
                <w:rFonts w:hint="cs"/>
                <w:rtl/>
              </w:rPr>
              <w:t xml:space="preserve">עיף קטן (ה), </w:t>
            </w:r>
            <w:proofErr w:type="spellStart"/>
            <w:r w:rsidR="00F949A8">
              <w:rPr>
                <w:rFonts w:hint="cs"/>
                <w:rtl/>
              </w:rPr>
              <w:t>הסיפה</w:t>
            </w:r>
            <w:proofErr w:type="spellEnd"/>
            <w:r w:rsidR="00F949A8">
              <w:rPr>
                <w:rFonts w:hint="cs"/>
                <w:rtl/>
              </w:rPr>
              <w:t xml:space="preserve"> החל במילים "</w:t>
            </w:r>
            <w:r>
              <w:rPr>
                <w:rFonts w:hint="cs"/>
                <w:rtl/>
              </w:rPr>
              <w:t xml:space="preserve">ובלבד שהיעד השנתי" </w:t>
            </w:r>
            <w:r>
              <w:rPr>
                <w:rFonts w:hint="eastAsia"/>
                <w:rtl/>
              </w:rPr>
              <w:t>–</w:t>
            </w:r>
            <w:r>
              <w:rPr>
                <w:rFonts w:hint="cs"/>
                <w:rtl/>
              </w:rPr>
              <w:t xml:space="preserve"> תימחק; </w:t>
            </w:r>
          </w:p>
        </w:tc>
      </w:tr>
      <w:tr w:rsidR="009E3980" w14:paraId="07C32970" w14:textId="77777777" w:rsidTr="004C3E44">
        <w:trPr>
          <w:cantSplit/>
        </w:trPr>
        <w:tc>
          <w:tcPr>
            <w:tcW w:w="1871" w:type="dxa"/>
          </w:tcPr>
          <w:p w14:paraId="4E335953" w14:textId="77777777" w:rsidR="009E3980" w:rsidRDefault="009E3980" w:rsidP="004C3E44">
            <w:pPr>
              <w:pStyle w:val="TableSideHeading"/>
            </w:pPr>
          </w:p>
        </w:tc>
        <w:tc>
          <w:tcPr>
            <w:tcW w:w="624" w:type="dxa"/>
          </w:tcPr>
          <w:p w14:paraId="22F6A92F" w14:textId="77777777" w:rsidR="009E3980" w:rsidRDefault="009E3980" w:rsidP="004C3E44">
            <w:pPr>
              <w:pStyle w:val="TableText"/>
            </w:pPr>
          </w:p>
        </w:tc>
        <w:tc>
          <w:tcPr>
            <w:tcW w:w="7143" w:type="dxa"/>
            <w:gridSpan w:val="5"/>
          </w:tcPr>
          <w:p w14:paraId="6BC5365B" w14:textId="02F1A830" w:rsidR="009E3980" w:rsidRDefault="009E3980" w:rsidP="00F949A8">
            <w:pPr>
              <w:pStyle w:val="TableBlock"/>
              <w:rPr>
                <w:rtl/>
              </w:rPr>
            </w:pPr>
            <w:r>
              <w:rPr>
                <w:rFonts w:hint="cs"/>
                <w:rtl/>
              </w:rPr>
              <w:t>(6)</w:t>
            </w:r>
            <w:r>
              <w:rPr>
                <w:rtl/>
              </w:rPr>
              <w:tab/>
            </w:r>
            <w:r>
              <w:rPr>
                <w:rFonts w:hint="cs"/>
                <w:rtl/>
              </w:rPr>
              <w:t xml:space="preserve">סעיף קטן (ו) </w:t>
            </w:r>
            <w:r>
              <w:rPr>
                <w:rFonts w:hint="eastAsia"/>
                <w:rtl/>
              </w:rPr>
              <w:t>–</w:t>
            </w:r>
            <w:r>
              <w:rPr>
                <w:rFonts w:hint="cs"/>
                <w:rtl/>
              </w:rPr>
              <w:t xml:space="preserve"> </w:t>
            </w:r>
            <w:r w:rsidR="00F949A8">
              <w:rPr>
                <w:rFonts w:hint="cs"/>
                <w:rtl/>
              </w:rPr>
              <w:t>בטל</w:t>
            </w:r>
            <w:r>
              <w:rPr>
                <w:rFonts w:hint="cs"/>
                <w:rtl/>
              </w:rPr>
              <w:t xml:space="preserve">.  </w:t>
            </w:r>
          </w:p>
        </w:tc>
      </w:tr>
      <w:tr w:rsidR="009E3980" w14:paraId="5F5F5442" w14:textId="77777777" w:rsidTr="004C3E44">
        <w:trPr>
          <w:cantSplit/>
        </w:trPr>
        <w:tc>
          <w:tcPr>
            <w:tcW w:w="1871" w:type="dxa"/>
          </w:tcPr>
          <w:p w14:paraId="65196236" w14:textId="77777777" w:rsidR="009E3980" w:rsidRDefault="009E3980" w:rsidP="004C3E44">
            <w:pPr>
              <w:pStyle w:val="TableSideHeading"/>
            </w:pPr>
            <w:r>
              <w:rPr>
                <w:rFonts w:hint="cs"/>
                <w:rtl/>
              </w:rPr>
              <w:t>תיקון סעיף 26טו1</w:t>
            </w:r>
          </w:p>
        </w:tc>
        <w:tc>
          <w:tcPr>
            <w:tcW w:w="624" w:type="dxa"/>
          </w:tcPr>
          <w:p w14:paraId="19D9981F" w14:textId="77777777" w:rsidR="009E3980" w:rsidRDefault="009E3980" w:rsidP="004C3E44">
            <w:pPr>
              <w:pStyle w:val="TableText"/>
            </w:pPr>
            <w:r>
              <w:rPr>
                <w:rFonts w:hint="cs"/>
                <w:rtl/>
              </w:rPr>
              <w:t xml:space="preserve">9. </w:t>
            </w:r>
          </w:p>
        </w:tc>
        <w:tc>
          <w:tcPr>
            <w:tcW w:w="7143" w:type="dxa"/>
            <w:gridSpan w:val="5"/>
          </w:tcPr>
          <w:p w14:paraId="4BADA352" w14:textId="77777777" w:rsidR="009E3980" w:rsidRPr="00C34DE2" w:rsidRDefault="009E3980" w:rsidP="004C3E44">
            <w:pPr>
              <w:pStyle w:val="TableBlock"/>
            </w:pPr>
            <w:r>
              <w:rPr>
                <w:rFonts w:hint="cs"/>
                <w:rtl/>
              </w:rPr>
              <w:t xml:space="preserve">בסעיף 26טו1 לחוק העיקרי </w:t>
            </w:r>
            <w:r>
              <w:rPr>
                <w:rFonts w:hint="eastAsia"/>
                <w:rtl/>
              </w:rPr>
              <w:t>–</w:t>
            </w:r>
          </w:p>
        </w:tc>
      </w:tr>
      <w:tr w:rsidR="009E3980" w:rsidRPr="00C570D0" w14:paraId="1FAAE103" w14:textId="77777777" w:rsidTr="004C3E44">
        <w:trPr>
          <w:cantSplit/>
        </w:trPr>
        <w:tc>
          <w:tcPr>
            <w:tcW w:w="1871" w:type="dxa"/>
          </w:tcPr>
          <w:p w14:paraId="67304F27" w14:textId="77777777" w:rsidR="009E3980" w:rsidRDefault="009E3980" w:rsidP="004C3E44">
            <w:pPr>
              <w:pStyle w:val="TableSideHeading"/>
            </w:pPr>
          </w:p>
        </w:tc>
        <w:tc>
          <w:tcPr>
            <w:tcW w:w="624" w:type="dxa"/>
          </w:tcPr>
          <w:p w14:paraId="43596994" w14:textId="77777777" w:rsidR="009E3980" w:rsidRDefault="009E3980" w:rsidP="004C3E44">
            <w:pPr>
              <w:pStyle w:val="TableText"/>
            </w:pPr>
          </w:p>
        </w:tc>
        <w:tc>
          <w:tcPr>
            <w:tcW w:w="624" w:type="dxa"/>
          </w:tcPr>
          <w:p w14:paraId="58342782" w14:textId="77777777" w:rsidR="009E3980" w:rsidRDefault="009E3980" w:rsidP="004C3E44">
            <w:pPr>
              <w:pStyle w:val="TableText"/>
            </w:pPr>
          </w:p>
        </w:tc>
        <w:tc>
          <w:tcPr>
            <w:tcW w:w="6519" w:type="dxa"/>
            <w:gridSpan w:val="4"/>
          </w:tcPr>
          <w:p w14:paraId="63DC90C6" w14:textId="77777777" w:rsidR="009E3980" w:rsidRDefault="009E3980" w:rsidP="004C3E44">
            <w:pPr>
              <w:pStyle w:val="TableBlock"/>
              <w:rPr>
                <w:rtl/>
              </w:rPr>
            </w:pPr>
            <w:r>
              <w:rPr>
                <w:rFonts w:hint="cs"/>
                <w:rtl/>
              </w:rPr>
              <w:t>(1)</w:t>
            </w:r>
            <w:r>
              <w:rPr>
                <w:rtl/>
              </w:rPr>
              <w:tab/>
            </w:r>
            <w:r>
              <w:rPr>
                <w:rFonts w:hint="cs"/>
                <w:rtl/>
              </w:rPr>
              <w:t>בכל מקום, במקום "תיקון מס' 21" יבוא "תיקון מס'...";</w:t>
            </w:r>
          </w:p>
        </w:tc>
      </w:tr>
      <w:tr w:rsidR="009E3980" w14:paraId="4E98263D" w14:textId="77777777" w:rsidTr="004C3E44">
        <w:trPr>
          <w:cantSplit/>
        </w:trPr>
        <w:tc>
          <w:tcPr>
            <w:tcW w:w="1871" w:type="dxa"/>
          </w:tcPr>
          <w:p w14:paraId="7986E4D6" w14:textId="77777777" w:rsidR="009E3980" w:rsidRDefault="009E3980" w:rsidP="004C3E44">
            <w:pPr>
              <w:pStyle w:val="TableSideHeading"/>
            </w:pPr>
          </w:p>
        </w:tc>
        <w:tc>
          <w:tcPr>
            <w:tcW w:w="624" w:type="dxa"/>
          </w:tcPr>
          <w:p w14:paraId="4705E126" w14:textId="77777777" w:rsidR="009E3980" w:rsidRDefault="009E3980" w:rsidP="004C3E44">
            <w:pPr>
              <w:pStyle w:val="TableText"/>
            </w:pPr>
          </w:p>
        </w:tc>
        <w:tc>
          <w:tcPr>
            <w:tcW w:w="624" w:type="dxa"/>
          </w:tcPr>
          <w:p w14:paraId="479B4EF0" w14:textId="77777777" w:rsidR="009E3980" w:rsidRDefault="009E3980" w:rsidP="004C3E44">
            <w:pPr>
              <w:pStyle w:val="TableText"/>
            </w:pPr>
          </w:p>
        </w:tc>
        <w:tc>
          <w:tcPr>
            <w:tcW w:w="6519" w:type="dxa"/>
            <w:gridSpan w:val="4"/>
          </w:tcPr>
          <w:p w14:paraId="2C3028C0" w14:textId="77777777" w:rsidR="009E3980" w:rsidRDefault="009E3980" w:rsidP="004C3E44">
            <w:pPr>
              <w:pStyle w:val="TableBlock"/>
              <w:rPr>
                <w:rtl/>
              </w:rPr>
            </w:pPr>
            <w:r>
              <w:rPr>
                <w:rFonts w:hint="cs"/>
                <w:rtl/>
              </w:rPr>
              <w:t>(2)</w:t>
            </w:r>
            <w:r>
              <w:rPr>
                <w:rtl/>
              </w:rPr>
              <w:tab/>
            </w:r>
            <w:r>
              <w:rPr>
                <w:rFonts w:hint="cs"/>
                <w:rtl/>
              </w:rPr>
              <w:t>ברישה, במקום "</w:t>
            </w:r>
            <w:proofErr w:type="spellStart"/>
            <w:r>
              <w:rPr>
                <w:rFonts w:hint="cs"/>
                <w:rtl/>
              </w:rPr>
              <w:t>התשע"ו</w:t>
            </w:r>
            <w:proofErr w:type="spellEnd"/>
            <w:r>
              <w:rPr>
                <w:rFonts w:hint="eastAsia"/>
                <w:rtl/>
              </w:rPr>
              <w:t>–</w:t>
            </w:r>
            <w:r>
              <w:rPr>
                <w:rFonts w:hint="cs"/>
                <w:rtl/>
              </w:rPr>
              <w:t>2015" יבוא "</w:t>
            </w:r>
            <w:proofErr w:type="spellStart"/>
            <w:r>
              <w:rPr>
                <w:rFonts w:hint="cs"/>
                <w:rtl/>
              </w:rPr>
              <w:t>התשע"ח</w:t>
            </w:r>
            <w:proofErr w:type="spellEnd"/>
            <w:r>
              <w:rPr>
                <w:rFonts w:hint="eastAsia"/>
                <w:rtl/>
              </w:rPr>
              <w:t>–</w:t>
            </w:r>
            <w:r>
              <w:rPr>
                <w:rFonts w:hint="cs"/>
                <w:rtl/>
              </w:rPr>
              <w:t>2018";</w:t>
            </w:r>
          </w:p>
        </w:tc>
      </w:tr>
      <w:tr w:rsidR="009E3980" w14:paraId="05BCCB7C" w14:textId="77777777" w:rsidTr="004C3E44">
        <w:trPr>
          <w:cantSplit/>
        </w:trPr>
        <w:tc>
          <w:tcPr>
            <w:tcW w:w="1871" w:type="dxa"/>
          </w:tcPr>
          <w:p w14:paraId="3DFFDFDB" w14:textId="77777777" w:rsidR="009E3980" w:rsidRDefault="009E3980" w:rsidP="004C3E44">
            <w:pPr>
              <w:pStyle w:val="TableSideHeading"/>
            </w:pPr>
          </w:p>
        </w:tc>
        <w:tc>
          <w:tcPr>
            <w:tcW w:w="624" w:type="dxa"/>
          </w:tcPr>
          <w:p w14:paraId="1C3BAB67" w14:textId="77777777" w:rsidR="009E3980" w:rsidRDefault="009E3980" w:rsidP="004C3E44">
            <w:pPr>
              <w:pStyle w:val="TableText"/>
            </w:pPr>
          </w:p>
        </w:tc>
        <w:tc>
          <w:tcPr>
            <w:tcW w:w="624" w:type="dxa"/>
          </w:tcPr>
          <w:p w14:paraId="382B55E6" w14:textId="77777777" w:rsidR="009E3980" w:rsidRDefault="009E3980" w:rsidP="004C3E44">
            <w:pPr>
              <w:pStyle w:val="TableText"/>
            </w:pPr>
          </w:p>
        </w:tc>
        <w:tc>
          <w:tcPr>
            <w:tcW w:w="6519" w:type="dxa"/>
            <w:gridSpan w:val="4"/>
          </w:tcPr>
          <w:p w14:paraId="718B3D55" w14:textId="77777777" w:rsidR="009E3980" w:rsidRDefault="009E3980" w:rsidP="004C3E44">
            <w:pPr>
              <w:pStyle w:val="TableBlock"/>
              <w:rPr>
                <w:rtl/>
              </w:rPr>
            </w:pPr>
            <w:r>
              <w:rPr>
                <w:rFonts w:hint="cs"/>
                <w:rtl/>
              </w:rPr>
              <w:t>(3)</w:t>
            </w:r>
            <w:r>
              <w:rPr>
                <w:rtl/>
              </w:rPr>
              <w:tab/>
            </w:r>
            <w:r>
              <w:rPr>
                <w:rFonts w:hint="cs"/>
                <w:rtl/>
              </w:rPr>
              <w:t>אחרי פסקה (5) יבוא:</w:t>
            </w:r>
          </w:p>
        </w:tc>
      </w:tr>
      <w:tr w:rsidR="009E3980" w14:paraId="3B9F835B" w14:textId="77777777" w:rsidTr="004C3E44">
        <w:trPr>
          <w:cantSplit/>
        </w:trPr>
        <w:tc>
          <w:tcPr>
            <w:tcW w:w="1871" w:type="dxa"/>
          </w:tcPr>
          <w:p w14:paraId="36D71336" w14:textId="77777777" w:rsidR="009E3980" w:rsidRDefault="009E3980" w:rsidP="004C3E44">
            <w:pPr>
              <w:pStyle w:val="TableSideHeading"/>
            </w:pPr>
          </w:p>
        </w:tc>
        <w:tc>
          <w:tcPr>
            <w:tcW w:w="624" w:type="dxa"/>
          </w:tcPr>
          <w:p w14:paraId="7408DD2D" w14:textId="77777777" w:rsidR="009E3980" w:rsidRDefault="009E3980" w:rsidP="004C3E44">
            <w:pPr>
              <w:pStyle w:val="TableText"/>
            </w:pPr>
          </w:p>
        </w:tc>
        <w:tc>
          <w:tcPr>
            <w:tcW w:w="624" w:type="dxa"/>
          </w:tcPr>
          <w:p w14:paraId="1319EA08" w14:textId="77777777" w:rsidR="009E3980" w:rsidRDefault="009E3980" w:rsidP="004C3E44">
            <w:pPr>
              <w:pStyle w:val="TableText"/>
            </w:pPr>
          </w:p>
        </w:tc>
        <w:tc>
          <w:tcPr>
            <w:tcW w:w="624" w:type="dxa"/>
          </w:tcPr>
          <w:p w14:paraId="6433F0EC" w14:textId="77777777" w:rsidR="009E3980" w:rsidRDefault="009E3980" w:rsidP="004C3E44">
            <w:pPr>
              <w:pStyle w:val="TableText"/>
            </w:pPr>
          </w:p>
        </w:tc>
        <w:tc>
          <w:tcPr>
            <w:tcW w:w="5895" w:type="dxa"/>
            <w:gridSpan w:val="3"/>
          </w:tcPr>
          <w:p w14:paraId="37AE7A88" w14:textId="0BCDE31A" w:rsidR="009E3980" w:rsidRDefault="009E3980" w:rsidP="004C3E44">
            <w:pPr>
              <w:pStyle w:val="TableBlock"/>
            </w:pPr>
            <w:r>
              <w:rPr>
                <w:rFonts w:hint="cs"/>
                <w:rtl/>
              </w:rPr>
              <w:t>"(5א)</w:t>
            </w:r>
            <w:r>
              <w:rPr>
                <w:rtl/>
              </w:rPr>
              <w:tab/>
            </w:r>
            <w:r>
              <w:rPr>
                <w:rFonts w:hint="cs"/>
                <w:rtl/>
              </w:rPr>
              <w:t>המנהל הכללי של המשרד לשירותי דת;"</w:t>
            </w:r>
            <w:r w:rsidR="00F949A8">
              <w:rPr>
                <w:rFonts w:hint="cs"/>
                <w:rtl/>
              </w:rPr>
              <w:t>;</w:t>
            </w:r>
          </w:p>
        </w:tc>
      </w:tr>
      <w:tr w:rsidR="009E3980" w14:paraId="5529E692" w14:textId="77777777" w:rsidTr="004C3E44">
        <w:trPr>
          <w:cantSplit/>
        </w:trPr>
        <w:tc>
          <w:tcPr>
            <w:tcW w:w="1871" w:type="dxa"/>
          </w:tcPr>
          <w:p w14:paraId="717F0CA0" w14:textId="77777777" w:rsidR="009E3980" w:rsidRDefault="009E3980" w:rsidP="004C3E44">
            <w:pPr>
              <w:pStyle w:val="TableSideHeading"/>
            </w:pPr>
          </w:p>
        </w:tc>
        <w:tc>
          <w:tcPr>
            <w:tcW w:w="624" w:type="dxa"/>
          </w:tcPr>
          <w:p w14:paraId="32145CC6" w14:textId="77777777" w:rsidR="009E3980" w:rsidRDefault="009E3980" w:rsidP="004C3E44">
            <w:pPr>
              <w:pStyle w:val="TableText"/>
            </w:pPr>
          </w:p>
        </w:tc>
        <w:tc>
          <w:tcPr>
            <w:tcW w:w="624" w:type="dxa"/>
          </w:tcPr>
          <w:p w14:paraId="5237DB24" w14:textId="77777777" w:rsidR="009E3980" w:rsidRDefault="009E3980" w:rsidP="004C3E44">
            <w:pPr>
              <w:pStyle w:val="TableText"/>
            </w:pPr>
          </w:p>
        </w:tc>
        <w:tc>
          <w:tcPr>
            <w:tcW w:w="6519" w:type="dxa"/>
            <w:gridSpan w:val="4"/>
          </w:tcPr>
          <w:p w14:paraId="43DECB4B" w14:textId="77777777" w:rsidR="009E3980" w:rsidRDefault="009E3980" w:rsidP="004C3E44">
            <w:pPr>
              <w:pStyle w:val="TableBlock"/>
            </w:pPr>
            <w:r>
              <w:rPr>
                <w:rFonts w:hint="cs"/>
                <w:rtl/>
              </w:rPr>
              <w:t>(4)</w:t>
            </w:r>
            <w:r>
              <w:rPr>
                <w:rtl/>
              </w:rPr>
              <w:tab/>
            </w:r>
            <w:r>
              <w:rPr>
                <w:rFonts w:hint="cs"/>
                <w:rtl/>
              </w:rPr>
              <w:t>אחרי פסקה (6) יבוא:</w:t>
            </w:r>
          </w:p>
        </w:tc>
      </w:tr>
      <w:tr w:rsidR="009E3980" w14:paraId="021DFDE1" w14:textId="77777777" w:rsidTr="004C3E44">
        <w:trPr>
          <w:cantSplit/>
        </w:trPr>
        <w:tc>
          <w:tcPr>
            <w:tcW w:w="1871" w:type="dxa"/>
          </w:tcPr>
          <w:p w14:paraId="437F3F36" w14:textId="77777777" w:rsidR="009E3980" w:rsidRDefault="009E3980" w:rsidP="004C3E44">
            <w:pPr>
              <w:pStyle w:val="TableSideHeading"/>
            </w:pPr>
          </w:p>
        </w:tc>
        <w:tc>
          <w:tcPr>
            <w:tcW w:w="624" w:type="dxa"/>
          </w:tcPr>
          <w:p w14:paraId="03A8E219" w14:textId="77777777" w:rsidR="009E3980" w:rsidRDefault="009E3980" w:rsidP="004C3E44">
            <w:pPr>
              <w:pStyle w:val="TableText"/>
            </w:pPr>
          </w:p>
        </w:tc>
        <w:tc>
          <w:tcPr>
            <w:tcW w:w="624" w:type="dxa"/>
          </w:tcPr>
          <w:p w14:paraId="00F686A5" w14:textId="77777777" w:rsidR="009E3980" w:rsidRDefault="009E3980" w:rsidP="004C3E44">
            <w:pPr>
              <w:pStyle w:val="TableText"/>
            </w:pPr>
          </w:p>
        </w:tc>
        <w:tc>
          <w:tcPr>
            <w:tcW w:w="624" w:type="dxa"/>
          </w:tcPr>
          <w:p w14:paraId="0C9805D7" w14:textId="77777777" w:rsidR="009E3980" w:rsidRDefault="009E3980" w:rsidP="004C3E44">
            <w:pPr>
              <w:pStyle w:val="TableText"/>
            </w:pPr>
          </w:p>
        </w:tc>
        <w:tc>
          <w:tcPr>
            <w:tcW w:w="5895" w:type="dxa"/>
            <w:gridSpan w:val="3"/>
          </w:tcPr>
          <w:p w14:paraId="3F24CECA" w14:textId="748E0F9F" w:rsidR="009E3980" w:rsidRDefault="009E3980" w:rsidP="004C3E44">
            <w:pPr>
              <w:pStyle w:val="TableBlock"/>
            </w:pPr>
            <w:r>
              <w:rPr>
                <w:rFonts w:hint="cs"/>
                <w:rtl/>
              </w:rPr>
              <w:t>"(6א)</w:t>
            </w:r>
            <w:r>
              <w:rPr>
                <w:rtl/>
              </w:rPr>
              <w:tab/>
            </w:r>
            <w:r>
              <w:rPr>
                <w:rFonts w:hint="cs"/>
                <w:rtl/>
              </w:rPr>
              <w:t>נציג בכיר מטעם הרבנים הראשיים לישראל;"</w:t>
            </w:r>
            <w:r w:rsidR="00F949A8">
              <w:rPr>
                <w:rFonts w:hint="cs"/>
                <w:rtl/>
              </w:rPr>
              <w:t>.</w:t>
            </w:r>
          </w:p>
        </w:tc>
      </w:tr>
      <w:tr w:rsidR="009E3980" w14:paraId="46BD3CD3" w14:textId="77777777" w:rsidTr="004C3E44">
        <w:trPr>
          <w:cantSplit/>
        </w:trPr>
        <w:tc>
          <w:tcPr>
            <w:tcW w:w="1871" w:type="dxa"/>
          </w:tcPr>
          <w:p w14:paraId="53A15E7A" w14:textId="77777777" w:rsidR="009E3980" w:rsidRDefault="009E3980" w:rsidP="004C3E44">
            <w:pPr>
              <w:pStyle w:val="TableSideHeading"/>
            </w:pPr>
            <w:r>
              <w:rPr>
                <w:rFonts w:hint="cs"/>
                <w:rtl/>
              </w:rPr>
              <w:t>תיקון סעיף 26טו2</w:t>
            </w:r>
          </w:p>
        </w:tc>
        <w:tc>
          <w:tcPr>
            <w:tcW w:w="624" w:type="dxa"/>
          </w:tcPr>
          <w:p w14:paraId="70B261EF" w14:textId="77777777" w:rsidR="009E3980" w:rsidRDefault="009E3980" w:rsidP="004C3E44">
            <w:pPr>
              <w:pStyle w:val="TableText"/>
            </w:pPr>
            <w:r>
              <w:rPr>
                <w:rFonts w:hint="cs"/>
                <w:rtl/>
              </w:rPr>
              <w:t xml:space="preserve">10. </w:t>
            </w:r>
          </w:p>
        </w:tc>
        <w:tc>
          <w:tcPr>
            <w:tcW w:w="7143" w:type="dxa"/>
            <w:gridSpan w:val="5"/>
          </w:tcPr>
          <w:p w14:paraId="06640916" w14:textId="77777777" w:rsidR="009E3980" w:rsidRPr="00934380" w:rsidRDefault="009E3980" w:rsidP="004C3E44">
            <w:pPr>
              <w:pStyle w:val="TableBlock"/>
            </w:pPr>
            <w:r>
              <w:rPr>
                <w:rFonts w:hint="cs"/>
                <w:rtl/>
              </w:rPr>
              <w:t xml:space="preserve">בסעיף 26טו2 לחוק העיקרי </w:t>
            </w:r>
            <w:r>
              <w:rPr>
                <w:rFonts w:hint="eastAsia"/>
                <w:rtl/>
              </w:rPr>
              <w:t>–</w:t>
            </w:r>
          </w:p>
        </w:tc>
      </w:tr>
      <w:tr w:rsidR="00F949A8" w14:paraId="01ADCFA5" w14:textId="77777777" w:rsidTr="009158F0">
        <w:trPr>
          <w:cantSplit/>
        </w:trPr>
        <w:tc>
          <w:tcPr>
            <w:tcW w:w="1871" w:type="dxa"/>
          </w:tcPr>
          <w:p w14:paraId="64D34E74" w14:textId="77777777" w:rsidR="00F949A8" w:rsidRDefault="00F949A8" w:rsidP="004C3E44">
            <w:pPr>
              <w:pStyle w:val="TableSideHeading"/>
            </w:pPr>
          </w:p>
        </w:tc>
        <w:tc>
          <w:tcPr>
            <w:tcW w:w="624" w:type="dxa"/>
          </w:tcPr>
          <w:p w14:paraId="1975B63F" w14:textId="77777777" w:rsidR="00F949A8" w:rsidRDefault="00F949A8" w:rsidP="004C3E44">
            <w:pPr>
              <w:pStyle w:val="TableText"/>
            </w:pPr>
          </w:p>
        </w:tc>
        <w:tc>
          <w:tcPr>
            <w:tcW w:w="7143" w:type="dxa"/>
            <w:gridSpan w:val="5"/>
          </w:tcPr>
          <w:p w14:paraId="6E4FAD07" w14:textId="77777777" w:rsidR="00F949A8" w:rsidRDefault="00F949A8" w:rsidP="004C3E44">
            <w:pPr>
              <w:pStyle w:val="TableBlock"/>
            </w:pPr>
            <w:r>
              <w:rPr>
                <w:rFonts w:hint="cs"/>
                <w:rtl/>
              </w:rPr>
              <w:t>(1)</w:t>
            </w:r>
            <w:r>
              <w:rPr>
                <w:rtl/>
              </w:rPr>
              <w:tab/>
            </w:r>
            <w:r>
              <w:rPr>
                <w:rFonts w:hint="cs"/>
                <w:rtl/>
              </w:rPr>
              <w:t xml:space="preserve">בסעיף קטן (א), המילה "הראשונה" </w:t>
            </w:r>
            <w:r>
              <w:rPr>
                <w:rFonts w:hint="eastAsia"/>
                <w:rtl/>
              </w:rPr>
              <w:t>–</w:t>
            </w:r>
            <w:r>
              <w:rPr>
                <w:rFonts w:hint="cs"/>
                <w:rtl/>
              </w:rPr>
              <w:t xml:space="preserve"> תימחק; </w:t>
            </w:r>
          </w:p>
        </w:tc>
      </w:tr>
      <w:tr w:rsidR="00F949A8" w14:paraId="09B55C93" w14:textId="77777777" w:rsidTr="00EB1540">
        <w:trPr>
          <w:cantSplit/>
        </w:trPr>
        <w:tc>
          <w:tcPr>
            <w:tcW w:w="1871" w:type="dxa"/>
          </w:tcPr>
          <w:p w14:paraId="0403A837" w14:textId="77777777" w:rsidR="00F949A8" w:rsidRDefault="00F949A8" w:rsidP="004C3E44">
            <w:pPr>
              <w:pStyle w:val="TableSideHeading"/>
            </w:pPr>
          </w:p>
        </w:tc>
        <w:tc>
          <w:tcPr>
            <w:tcW w:w="624" w:type="dxa"/>
          </w:tcPr>
          <w:p w14:paraId="1B58ED19" w14:textId="77777777" w:rsidR="00F949A8" w:rsidRDefault="00F949A8" w:rsidP="004C3E44">
            <w:pPr>
              <w:pStyle w:val="TableText"/>
            </w:pPr>
          </w:p>
        </w:tc>
        <w:tc>
          <w:tcPr>
            <w:tcW w:w="7143" w:type="dxa"/>
            <w:gridSpan w:val="5"/>
          </w:tcPr>
          <w:p w14:paraId="5636A719" w14:textId="2C7359B9" w:rsidR="00F949A8" w:rsidRPr="00934380" w:rsidRDefault="00F949A8" w:rsidP="00F949A8">
            <w:pPr>
              <w:pStyle w:val="TableBlock"/>
              <w:rPr>
                <w:rtl/>
              </w:rPr>
            </w:pPr>
            <w:r>
              <w:rPr>
                <w:rFonts w:hint="cs"/>
                <w:rtl/>
              </w:rPr>
              <w:t>(2)</w:t>
            </w:r>
            <w:r>
              <w:rPr>
                <w:rtl/>
              </w:rPr>
              <w:tab/>
            </w:r>
            <w:r>
              <w:rPr>
                <w:rFonts w:hint="cs"/>
                <w:rtl/>
              </w:rPr>
              <w:t xml:space="preserve">סעיפים קטנים (ג) ו-(ד) </w:t>
            </w:r>
            <w:r>
              <w:rPr>
                <w:rFonts w:hint="eastAsia"/>
                <w:rtl/>
              </w:rPr>
              <w:t>–</w:t>
            </w:r>
            <w:r>
              <w:rPr>
                <w:rFonts w:hint="cs"/>
                <w:rtl/>
              </w:rPr>
              <w:t xml:space="preserve"> בטלים;  </w:t>
            </w:r>
          </w:p>
        </w:tc>
      </w:tr>
      <w:tr w:rsidR="00F949A8" w14:paraId="19E122B6" w14:textId="77777777" w:rsidTr="001F4F5A">
        <w:trPr>
          <w:cantSplit/>
        </w:trPr>
        <w:tc>
          <w:tcPr>
            <w:tcW w:w="1871" w:type="dxa"/>
          </w:tcPr>
          <w:p w14:paraId="0DAD3BDD" w14:textId="77777777" w:rsidR="00F949A8" w:rsidRDefault="00F949A8" w:rsidP="004C3E44">
            <w:pPr>
              <w:pStyle w:val="TableSideHeading"/>
            </w:pPr>
          </w:p>
        </w:tc>
        <w:tc>
          <w:tcPr>
            <w:tcW w:w="624" w:type="dxa"/>
          </w:tcPr>
          <w:p w14:paraId="49DE3333" w14:textId="77777777" w:rsidR="00F949A8" w:rsidRDefault="00F949A8" w:rsidP="004C3E44">
            <w:pPr>
              <w:pStyle w:val="TableText"/>
            </w:pPr>
          </w:p>
        </w:tc>
        <w:tc>
          <w:tcPr>
            <w:tcW w:w="7143" w:type="dxa"/>
            <w:gridSpan w:val="5"/>
          </w:tcPr>
          <w:p w14:paraId="13D97EC6" w14:textId="77777777" w:rsidR="00F949A8" w:rsidRDefault="00F949A8" w:rsidP="004C3E44">
            <w:pPr>
              <w:pStyle w:val="TableBlock"/>
              <w:rPr>
                <w:rtl/>
              </w:rPr>
            </w:pPr>
            <w:r>
              <w:rPr>
                <w:rFonts w:hint="cs"/>
                <w:rtl/>
              </w:rPr>
              <w:t>(3)</w:t>
            </w:r>
            <w:r>
              <w:rPr>
                <w:rtl/>
              </w:rPr>
              <w:tab/>
            </w:r>
            <w:r>
              <w:rPr>
                <w:rFonts w:hint="cs"/>
                <w:rtl/>
              </w:rPr>
              <w:t xml:space="preserve">בסעיף קטן (ה), המילים "הראשונה ותקופת ההסתגלות השנייה" </w:t>
            </w:r>
            <w:r>
              <w:rPr>
                <w:rFonts w:hint="eastAsia"/>
                <w:rtl/>
              </w:rPr>
              <w:t>–</w:t>
            </w:r>
            <w:r>
              <w:rPr>
                <w:rFonts w:hint="cs"/>
                <w:rtl/>
              </w:rPr>
              <w:t xml:space="preserve"> יימחקו.  </w:t>
            </w:r>
          </w:p>
        </w:tc>
      </w:tr>
      <w:tr w:rsidR="009E3980" w14:paraId="09954732" w14:textId="77777777" w:rsidTr="004C3E44">
        <w:trPr>
          <w:cantSplit/>
        </w:trPr>
        <w:tc>
          <w:tcPr>
            <w:tcW w:w="1871" w:type="dxa"/>
          </w:tcPr>
          <w:p w14:paraId="6CFD5D1B" w14:textId="77777777" w:rsidR="009E3980" w:rsidRDefault="009E3980" w:rsidP="004C3E44">
            <w:pPr>
              <w:pStyle w:val="TableSideHeading"/>
            </w:pPr>
            <w:r>
              <w:rPr>
                <w:rFonts w:hint="cs"/>
                <w:rtl/>
              </w:rPr>
              <w:t>ביטול כותרת סימן ה' וסעיפים 26יז עד 26יט ו-26כב והחלפת סעיפים 26כ ו-26כא</w:t>
            </w:r>
          </w:p>
        </w:tc>
        <w:tc>
          <w:tcPr>
            <w:tcW w:w="624" w:type="dxa"/>
          </w:tcPr>
          <w:p w14:paraId="4EE9CF77" w14:textId="77777777" w:rsidR="009E3980" w:rsidRDefault="009E3980" w:rsidP="004C3E44">
            <w:pPr>
              <w:pStyle w:val="TableText"/>
            </w:pPr>
            <w:r>
              <w:rPr>
                <w:rFonts w:hint="cs"/>
                <w:rtl/>
              </w:rPr>
              <w:t>11.</w:t>
            </w:r>
          </w:p>
        </w:tc>
        <w:tc>
          <w:tcPr>
            <w:tcW w:w="7143" w:type="dxa"/>
            <w:gridSpan w:val="5"/>
          </w:tcPr>
          <w:p w14:paraId="7AC8EF67" w14:textId="0B94E4CC" w:rsidR="009E3980" w:rsidRPr="00C34DE2" w:rsidRDefault="00F949A8" w:rsidP="004C3E44">
            <w:pPr>
              <w:pStyle w:val="TableBlock"/>
            </w:pPr>
            <w:r>
              <w:rPr>
                <w:rFonts w:hint="cs"/>
                <w:rtl/>
              </w:rPr>
              <w:t>במקום  סימן ה' ל</w:t>
            </w:r>
            <w:r w:rsidR="009E3980">
              <w:rPr>
                <w:rFonts w:hint="cs"/>
                <w:rtl/>
              </w:rPr>
              <w:t>פרק ג'1 לחוק העיקרי יבוא:</w:t>
            </w:r>
          </w:p>
        </w:tc>
      </w:tr>
      <w:tr w:rsidR="009E3980" w14:paraId="06148333" w14:textId="77777777" w:rsidTr="004C3E44">
        <w:trPr>
          <w:cantSplit/>
        </w:trPr>
        <w:tc>
          <w:tcPr>
            <w:tcW w:w="1871" w:type="dxa"/>
          </w:tcPr>
          <w:p w14:paraId="3ED8F78C" w14:textId="77777777" w:rsidR="009E3980" w:rsidRDefault="009E3980" w:rsidP="004C3E44">
            <w:pPr>
              <w:pStyle w:val="TableSideHeading"/>
              <w:keepLines w:val="0"/>
            </w:pPr>
          </w:p>
        </w:tc>
        <w:tc>
          <w:tcPr>
            <w:tcW w:w="624" w:type="dxa"/>
          </w:tcPr>
          <w:p w14:paraId="249D7A0C" w14:textId="77777777" w:rsidR="009E3980" w:rsidRDefault="009E3980" w:rsidP="004C3E44">
            <w:pPr>
              <w:pStyle w:val="TableText"/>
              <w:keepLines w:val="0"/>
            </w:pPr>
          </w:p>
        </w:tc>
        <w:tc>
          <w:tcPr>
            <w:tcW w:w="1872" w:type="dxa"/>
            <w:gridSpan w:val="3"/>
          </w:tcPr>
          <w:p w14:paraId="485FDD13" w14:textId="77777777" w:rsidR="009E3980" w:rsidRDefault="009E3980" w:rsidP="004C3E44">
            <w:pPr>
              <w:pStyle w:val="TableInnerSideHeading"/>
            </w:pPr>
            <w:r>
              <w:rPr>
                <w:rFonts w:hint="cs"/>
                <w:rtl/>
              </w:rPr>
              <w:t>"הוראות לעניין עמידה ביעדי גיוס</w:t>
            </w:r>
          </w:p>
        </w:tc>
        <w:tc>
          <w:tcPr>
            <w:tcW w:w="624" w:type="dxa"/>
          </w:tcPr>
          <w:p w14:paraId="20B0FD04" w14:textId="77777777" w:rsidR="009E3980" w:rsidRDefault="009E3980" w:rsidP="004C3E44">
            <w:pPr>
              <w:pStyle w:val="TableText"/>
            </w:pPr>
            <w:r>
              <w:rPr>
                <w:rFonts w:hint="cs"/>
                <w:rtl/>
              </w:rPr>
              <w:t>26כ.</w:t>
            </w:r>
          </w:p>
        </w:tc>
        <w:tc>
          <w:tcPr>
            <w:tcW w:w="4647" w:type="dxa"/>
          </w:tcPr>
          <w:p w14:paraId="40E7577F" w14:textId="77777777" w:rsidR="009E3980" w:rsidRDefault="009E3980" w:rsidP="004C3E44">
            <w:pPr>
              <w:pStyle w:val="TableBlock"/>
            </w:pPr>
            <w:r>
              <w:rPr>
                <w:rFonts w:hint="cs"/>
                <w:rtl/>
              </w:rPr>
              <w:t>(א)</w:t>
            </w:r>
            <w:r>
              <w:rPr>
                <w:rtl/>
              </w:rPr>
              <w:tab/>
            </w:r>
            <w:r>
              <w:rPr>
                <w:rFonts w:hint="cs"/>
                <w:rtl/>
              </w:rPr>
              <w:t xml:space="preserve">הושגו יעדי הגיוס שעליהם החליטה הממשלה בשנת גיוס מסוימת שהיא השנה הקודמת לשנת היעד, יחולו הוראות פרק זה לתקופה של חמש שנים נוספות בכל פעם (בפרק זה </w:t>
            </w:r>
            <w:r>
              <w:rPr>
                <w:rFonts w:hint="eastAsia"/>
                <w:rtl/>
              </w:rPr>
              <w:t>–</w:t>
            </w:r>
            <w:r>
              <w:rPr>
                <w:rFonts w:hint="cs"/>
                <w:rtl/>
              </w:rPr>
              <w:t xml:space="preserve"> תקופת ההארכה), וכל הוראות פרק זה הנוגעות לתקופת ההסתגלות יחולו גם לגבי תקופת ההארכה בהתאמה.  </w:t>
            </w:r>
          </w:p>
        </w:tc>
      </w:tr>
      <w:tr w:rsidR="009E3980" w14:paraId="2968CEF2" w14:textId="77777777" w:rsidTr="004C3E44">
        <w:trPr>
          <w:cantSplit/>
        </w:trPr>
        <w:tc>
          <w:tcPr>
            <w:tcW w:w="1871" w:type="dxa"/>
          </w:tcPr>
          <w:p w14:paraId="5BF9E9C2" w14:textId="77777777" w:rsidR="009E3980" w:rsidRDefault="009E3980" w:rsidP="004C3E44">
            <w:pPr>
              <w:pStyle w:val="TableSideHeading"/>
            </w:pPr>
          </w:p>
        </w:tc>
        <w:tc>
          <w:tcPr>
            <w:tcW w:w="624" w:type="dxa"/>
          </w:tcPr>
          <w:p w14:paraId="1D899417" w14:textId="77777777" w:rsidR="009E3980" w:rsidRDefault="009E3980" w:rsidP="004C3E44">
            <w:pPr>
              <w:pStyle w:val="TableText"/>
            </w:pPr>
          </w:p>
        </w:tc>
        <w:tc>
          <w:tcPr>
            <w:tcW w:w="624" w:type="dxa"/>
          </w:tcPr>
          <w:p w14:paraId="4202FD50" w14:textId="77777777" w:rsidR="009E3980" w:rsidRDefault="009E3980" w:rsidP="004C3E44">
            <w:pPr>
              <w:pStyle w:val="TableText"/>
            </w:pPr>
          </w:p>
        </w:tc>
        <w:tc>
          <w:tcPr>
            <w:tcW w:w="624" w:type="dxa"/>
          </w:tcPr>
          <w:p w14:paraId="07BCC06E" w14:textId="77777777" w:rsidR="009E3980" w:rsidRDefault="009E3980" w:rsidP="004C3E44">
            <w:pPr>
              <w:pStyle w:val="TableText"/>
            </w:pPr>
          </w:p>
        </w:tc>
        <w:tc>
          <w:tcPr>
            <w:tcW w:w="624" w:type="dxa"/>
          </w:tcPr>
          <w:p w14:paraId="6F2EF1AF" w14:textId="77777777" w:rsidR="009E3980" w:rsidRDefault="009E3980" w:rsidP="004C3E44">
            <w:pPr>
              <w:pStyle w:val="TableText"/>
            </w:pPr>
          </w:p>
        </w:tc>
        <w:tc>
          <w:tcPr>
            <w:tcW w:w="624" w:type="dxa"/>
          </w:tcPr>
          <w:p w14:paraId="76FAA97A" w14:textId="77777777" w:rsidR="009E3980" w:rsidRDefault="009E3980" w:rsidP="004C3E44">
            <w:pPr>
              <w:pStyle w:val="TableText"/>
            </w:pPr>
          </w:p>
        </w:tc>
        <w:tc>
          <w:tcPr>
            <w:tcW w:w="4647" w:type="dxa"/>
          </w:tcPr>
          <w:p w14:paraId="0944A489" w14:textId="77777777" w:rsidR="009E3980" w:rsidRDefault="009E3980" w:rsidP="004C3E44">
            <w:pPr>
              <w:pStyle w:val="TableBlock"/>
            </w:pPr>
            <w:r>
              <w:rPr>
                <w:rFonts w:hint="cs"/>
                <w:rtl/>
              </w:rPr>
              <w:t>(ב)</w:t>
            </w:r>
            <w:r>
              <w:rPr>
                <w:rtl/>
              </w:rPr>
              <w:tab/>
            </w:r>
            <w:r>
              <w:rPr>
                <w:rFonts w:hint="cs"/>
                <w:rtl/>
              </w:rPr>
              <w:t xml:space="preserve">לא הושגו יעדי הגיוס שעליהם החליטה הממשלה בשנת גיוס מסוימת שהיא השנה הקודמת לשנת היעד, יהיה על הכנסת לקבוע הסדר חקיקתי  חדש בתוך שנה מתום תקופת ההסתגלות או תקופת הארכה לפי המאוחר; נערכו בחירות לכנסת באותה שנה תוכל הכנסת לאמץ הסדר חקיקתי חדש בתוך שנתיים ימים; עד למועד הקבוע בסעיף קטן זה לקביעת הסדר חקיקתי חדש יחולו הוראות פרק זה. </w:t>
            </w:r>
          </w:p>
        </w:tc>
      </w:tr>
      <w:tr w:rsidR="009E3980" w14:paraId="52DA74EE" w14:textId="77777777" w:rsidTr="004C3E44">
        <w:trPr>
          <w:cantSplit/>
        </w:trPr>
        <w:tc>
          <w:tcPr>
            <w:tcW w:w="1871" w:type="dxa"/>
          </w:tcPr>
          <w:p w14:paraId="34D7F614" w14:textId="77777777" w:rsidR="009E3980" w:rsidRDefault="009E3980" w:rsidP="004C3E44">
            <w:pPr>
              <w:pStyle w:val="TableSideHeading"/>
              <w:keepLines w:val="0"/>
            </w:pPr>
          </w:p>
        </w:tc>
        <w:tc>
          <w:tcPr>
            <w:tcW w:w="624" w:type="dxa"/>
          </w:tcPr>
          <w:p w14:paraId="5C0820C6" w14:textId="77777777" w:rsidR="009E3980" w:rsidRDefault="009E3980" w:rsidP="004C3E44">
            <w:pPr>
              <w:pStyle w:val="TableText"/>
              <w:keepLines w:val="0"/>
            </w:pPr>
          </w:p>
        </w:tc>
        <w:tc>
          <w:tcPr>
            <w:tcW w:w="1872" w:type="dxa"/>
            <w:gridSpan w:val="3"/>
          </w:tcPr>
          <w:p w14:paraId="3EDE3F05" w14:textId="77777777" w:rsidR="009E3980" w:rsidRDefault="009E3980" w:rsidP="004C3E44">
            <w:pPr>
              <w:pStyle w:val="TableInnerSideHeading"/>
            </w:pPr>
            <w:r>
              <w:rPr>
                <w:rFonts w:hint="cs"/>
                <w:rtl/>
              </w:rPr>
              <w:t>הוראות לעניין אי עמידה ביעדי גיוס</w:t>
            </w:r>
          </w:p>
        </w:tc>
        <w:tc>
          <w:tcPr>
            <w:tcW w:w="624" w:type="dxa"/>
          </w:tcPr>
          <w:p w14:paraId="6F247CA7" w14:textId="77777777" w:rsidR="009E3980" w:rsidRDefault="009E3980" w:rsidP="004C3E44">
            <w:pPr>
              <w:pStyle w:val="TableText"/>
            </w:pPr>
            <w:r>
              <w:rPr>
                <w:rFonts w:hint="cs"/>
                <w:rtl/>
              </w:rPr>
              <w:t>26כא.</w:t>
            </w:r>
          </w:p>
        </w:tc>
        <w:tc>
          <w:tcPr>
            <w:tcW w:w="4647" w:type="dxa"/>
          </w:tcPr>
          <w:p w14:paraId="65CF0AB3" w14:textId="77777777" w:rsidR="009E3980" w:rsidRDefault="009E3980" w:rsidP="004C3E44">
            <w:pPr>
              <w:pStyle w:val="TableBlock"/>
            </w:pPr>
            <w:r>
              <w:rPr>
                <w:rFonts w:hint="cs"/>
                <w:rtl/>
              </w:rPr>
              <w:t>(א)</w:t>
            </w:r>
            <w:r>
              <w:rPr>
                <w:rtl/>
              </w:rPr>
              <w:tab/>
            </w:r>
            <w:r>
              <w:rPr>
                <w:rFonts w:hint="cs"/>
                <w:rtl/>
              </w:rPr>
              <w:t>לא הושג יעד גיוס שנתי שעליו החליטה הממשלה בשנת גיוס מסוימת, החל משנת הגיוס שתחילתה בחודש יולי 2021, תבחן הממשלה את הדברים בשים לב לחוק-יסוד: לימוד תורה ותשקול האם יש לשנות את היעדים שנקבעו, ובאילו אמצעים יש לנקוט כדי להשיג את היעדים שנקבעו, וכלל שתרצה בכך תפעל לעגן את המלצותיה בחקיקה; בין היתר, תהיה רשאית הממשלה להורות על הכבדת הדרישות בעניין היקף שעות הלימוד הקבועות בסעיף 26כג(א)(1).</w:t>
            </w:r>
          </w:p>
        </w:tc>
      </w:tr>
      <w:tr w:rsidR="009E3980" w14:paraId="64B3FF8A" w14:textId="77777777" w:rsidTr="004C3E44">
        <w:trPr>
          <w:cantSplit/>
        </w:trPr>
        <w:tc>
          <w:tcPr>
            <w:tcW w:w="1871" w:type="dxa"/>
          </w:tcPr>
          <w:p w14:paraId="21C4AAA0" w14:textId="77777777" w:rsidR="009E3980" w:rsidRDefault="009E3980" w:rsidP="004C3E44">
            <w:pPr>
              <w:pStyle w:val="TableSideHeading"/>
            </w:pPr>
          </w:p>
        </w:tc>
        <w:tc>
          <w:tcPr>
            <w:tcW w:w="624" w:type="dxa"/>
          </w:tcPr>
          <w:p w14:paraId="10D27FA3" w14:textId="77777777" w:rsidR="009E3980" w:rsidRDefault="009E3980" w:rsidP="004C3E44">
            <w:pPr>
              <w:pStyle w:val="TableText"/>
            </w:pPr>
          </w:p>
        </w:tc>
        <w:tc>
          <w:tcPr>
            <w:tcW w:w="624" w:type="dxa"/>
          </w:tcPr>
          <w:p w14:paraId="76775CF0" w14:textId="77777777" w:rsidR="009E3980" w:rsidRDefault="009E3980" w:rsidP="004C3E44">
            <w:pPr>
              <w:pStyle w:val="TableText"/>
            </w:pPr>
          </w:p>
        </w:tc>
        <w:tc>
          <w:tcPr>
            <w:tcW w:w="624" w:type="dxa"/>
          </w:tcPr>
          <w:p w14:paraId="5C356363" w14:textId="77777777" w:rsidR="009E3980" w:rsidRDefault="009E3980" w:rsidP="004C3E44">
            <w:pPr>
              <w:pStyle w:val="TableText"/>
            </w:pPr>
          </w:p>
        </w:tc>
        <w:tc>
          <w:tcPr>
            <w:tcW w:w="624" w:type="dxa"/>
          </w:tcPr>
          <w:p w14:paraId="0732C514" w14:textId="77777777" w:rsidR="009E3980" w:rsidRDefault="009E3980" w:rsidP="004C3E44">
            <w:pPr>
              <w:pStyle w:val="TableText"/>
            </w:pPr>
          </w:p>
        </w:tc>
        <w:tc>
          <w:tcPr>
            <w:tcW w:w="624" w:type="dxa"/>
          </w:tcPr>
          <w:p w14:paraId="41BF4A43" w14:textId="77777777" w:rsidR="009E3980" w:rsidRDefault="009E3980" w:rsidP="004C3E44">
            <w:pPr>
              <w:pStyle w:val="TableText"/>
            </w:pPr>
          </w:p>
        </w:tc>
        <w:tc>
          <w:tcPr>
            <w:tcW w:w="4647" w:type="dxa"/>
          </w:tcPr>
          <w:p w14:paraId="6290B671" w14:textId="77777777" w:rsidR="009E3980" w:rsidRDefault="009E3980" w:rsidP="004C3E44">
            <w:pPr>
              <w:pStyle w:val="TableBlock"/>
            </w:pPr>
            <w:r>
              <w:rPr>
                <w:rFonts w:hint="cs"/>
                <w:rtl/>
              </w:rPr>
              <w:t>(ב)</w:t>
            </w:r>
            <w:r>
              <w:rPr>
                <w:rtl/>
              </w:rPr>
              <w:tab/>
            </w:r>
            <w:r>
              <w:rPr>
                <w:rFonts w:hint="cs"/>
                <w:rtl/>
              </w:rPr>
              <w:t xml:space="preserve">החלטתה של הממשלה כאמור בסעיף קטן (א) תובא לאישורה של ועדת החוץ והביטחון של הכנסת. </w:t>
            </w:r>
          </w:p>
        </w:tc>
      </w:tr>
      <w:tr w:rsidR="009E3980" w14:paraId="2CED1758" w14:textId="77777777" w:rsidTr="004C3E44">
        <w:trPr>
          <w:cantSplit/>
        </w:trPr>
        <w:tc>
          <w:tcPr>
            <w:tcW w:w="1871" w:type="dxa"/>
          </w:tcPr>
          <w:p w14:paraId="685F3FF3" w14:textId="77777777" w:rsidR="009E3980" w:rsidRDefault="009E3980" w:rsidP="004C3E44">
            <w:pPr>
              <w:pStyle w:val="TableSideHeading"/>
            </w:pPr>
          </w:p>
        </w:tc>
        <w:tc>
          <w:tcPr>
            <w:tcW w:w="624" w:type="dxa"/>
          </w:tcPr>
          <w:p w14:paraId="29253FEB" w14:textId="77777777" w:rsidR="009E3980" w:rsidRDefault="009E3980" w:rsidP="004C3E44">
            <w:pPr>
              <w:pStyle w:val="TableText"/>
            </w:pPr>
          </w:p>
        </w:tc>
        <w:tc>
          <w:tcPr>
            <w:tcW w:w="624" w:type="dxa"/>
          </w:tcPr>
          <w:p w14:paraId="1511F0C4" w14:textId="77777777" w:rsidR="009E3980" w:rsidRDefault="009E3980" w:rsidP="004C3E44">
            <w:pPr>
              <w:pStyle w:val="TableText"/>
            </w:pPr>
          </w:p>
        </w:tc>
        <w:tc>
          <w:tcPr>
            <w:tcW w:w="624" w:type="dxa"/>
          </w:tcPr>
          <w:p w14:paraId="6C4E533C" w14:textId="77777777" w:rsidR="009E3980" w:rsidRDefault="009E3980" w:rsidP="004C3E44">
            <w:pPr>
              <w:pStyle w:val="TableText"/>
            </w:pPr>
          </w:p>
        </w:tc>
        <w:tc>
          <w:tcPr>
            <w:tcW w:w="624" w:type="dxa"/>
          </w:tcPr>
          <w:p w14:paraId="13DC224E" w14:textId="77777777" w:rsidR="009E3980" w:rsidRDefault="009E3980" w:rsidP="004C3E44">
            <w:pPr>
              <w:pStyle w:val="TableText"/>
            </w:pPr>
          </w:p>
        </w:tc>
        <w:tc>
          <w:tcPr>
            <w:tcW w:w="624" w:type="dxa"/>
          </w:tcPr>
          <w:p w14:paraId="7F1CC766" w14:textId="77777777" w:rsidR="009E3980" w:rsidRDefault="009E3980" w:rsidP="004C3E44">
            <w:pPr>
              <w:pStyle w:val="TableText"/>
            </w:pPr>
          </w:p>
        </w:tc>
        <w:tc>
          <w:tcPr>
            <w:tcW w:w="4647" w:type="dxa"/>
          </w:tcPr>
          <w:p w14:paraId="0E1A95AF" w14:textId="77777777" w:rsidR="009E3980" w:rsidRDefault="009E3980" w:rsidP="004C3E44">
            <w:pPr>
              <w:pStyle w:val="TableBlock"/>
              <w:rPr>
                <w:rtl/>
              </w:rPr>
            </w:pPr>
            <w:r>
              <w:rPr>
                <w:rFonts w:hint="cs"/>
                <w:rtl/>
              </w:rPr>
              <w:t>(ג)</w:t>
            </w:r>
            <w:r>
              <w:rPr>
                <w:rtl/>
              </w:rPr>
              <w:tab/>
            </w:r>
            <w:r>
              <w:rPr>
                <w:rFonts w:hint="cs"/>
                <w:rtl/>
              </w:rPr>
              <w:t>לא אישרה ועדת החוץ והביטחון את החלטת הממשלה, תובא החלטת הממשלה לאישורה של מליאת הכנסת; דחתה מליאת הכנסת את החלטת הממשלה ולא אישרה הצעה חלופית, תקבע הכנסת הסדר חדש, והוראות סעיף 26כ(ב) ו-(ג) יחולו בהתאמה."</w:t>
            </w:r>
          </w:p>
        </w:tc>
      </w:tr>
      <w:tr w:rsidR="009E3980" w14:paraId="648C5411" w14:textId="77777777" w:rsidTr="004C3E44">
        <w:trPr>
          <w:cantSplit/>
        </w:trPr>
        <w:tc>
          <w:tcPr>
            <w:tcW w:w="1871" w:type="dxa"/>
          </w:tcPr>
          <w:p w14:paraId="1EA54A5C" w14:textId="77777777" w:rsidR="009E3980" w:rsidRDefault="009E3980" w:rsidP="004C3E44">
            <w:pPr>
              <w:pStyle w:val="TableSideHeading"/>
            </w:pPr>
            <w:r>
              <w:rPr>
                <w:rFonts w:hint="cs"/>
                <w:rtl/>
              </w:rPr>
              <w:t>תיקון סעיף 26כג</w:t>
            </w:r>
          </w:p>
        </w:tc>
        <w:tc>
          <w:tcPr>
            <w:tcW w:w="624" w:type="dxa"/>
          </w:tcPr>
          <w:p w14:paraId="46227886" w14:textId="77777777" w:rsidR="009E3980" w:rsidRDefault="009E3980" w:rsidP="004C3E44">
            <w:pPr>
              <w:pStyle w:val="TableText"/>
            </w:pPr>
            <w:r>
              <w:rPr>
                <w:rFonts w:hint="cs"/>
                <w:rtl/>
              </w:rPr>
              <w:t>12.</w:t>
            </w:r>
          </w:p>
        </w:tc>
        <w:tc>
          <w:tcPr>
            <w:tcW w:w="7143" w:type="dxa"/>
            <w:gridSpan w:val="5"/>
          </w:tcPr>
          <w:p w14:paraId="33768300" w14:textId="77777777" w:rsidR="009E3980" w:rsidRPr="00C34DE2" w:rsidRDefault="009E3980" w:rsidP="004C3E44">
            <w:pPr>
              <w:pStyle w:val="TableBlock"/>
            </w:pPr>
            <w:r>
              <w:rPr>
                <w:rFonts w:hint="cs"/>
                <w:rtl/>
              </w:rPr>
              <w:t xml:space="preserve">בסעיף 26כג(א) לחוק העיקרי </w:t>
            </w:r>
            <w:r>
              <w:rPr>
                <w:rFonts w:hint="eastAsia"/>
                <w:rtl/>
              </w:rPr>
              <w:t>–</w:t>
            </w:r>
          </w:p>
        </w:tc>
      </w:tr>
      <w:tr w:rsidR="009E3980" w14:paraId="7582C179" w14:textId="77777777" w:rsidTr="004C3E44">
        <w:trPr>
          <w:cantSplit/>
        </w:trPr>
        <w:tc>
          <w:tcPr>
            <w:tcW w:w="1871" w:type="dxa"/>
          </w:tcPr>
          <w:p w14:paraId="7681EB6F" w14:textId="77777777" w:rsidR="009E3980" w:rsidRDefault="009E3980" w:rsidP="004C3E44">
            <w:pPr>
              <w:pStyle w:val="TableSideHeading"/>
            </w:pPr>
          </w:p>
        </w:tc>
        <w:tc>
          <w:tcPr>
            <w:tcW w:w="624" w:type="dxa"/>
          </w:tcPr>
          <w:p w14:paraId="71320AAA" w14:textId="77777777" w:rsidR="009E3980" w:rsidRDefault="009E3980" w:rsidP="004C3E44">
            <w:pPr>
              <w:pStyle w:val="TableText"/>
            </w:pPr>
          </w:p>
        </w:tc>
        <w:tc>
          <w:tcPr>
            <w:tcW w:w="7143" w:type="dxa"/>
            <w:gridSpan w:val="5"/>
          </w:tcPr>
          <w:p w14:paraId="27D01A04" w14:textId="77777777" w:rsidR="009E3980" w:rsidRDefault="009E3980" w:rsidP="004C3E44">
            <w:pPr>
              <w:pStyle w:val="TableBlock"/>
            </w:pPr>
            <w:r>
              <w:rPr>
                <w:rFonts w:hint="cs"/>
                <w:rtl/>
              </w:rPr>
              <w:t>(1)</w:t>
            </w:r>
            <w:r>
              <w:rPr>
                <w:rtl/>
              </w:rPr>
              <w:tab/>
            </w:r>
            <w:r>
              <w:rPr>
                <w:rFonts w:hint="cs"/>
                <w:rtl/>
              </w:rPr>
              <w:t xml:space="preserve">בפסקה (2), המילים "בתקופת ההסתגלות הראשונה, ובתקופת ההסתגלות השנייה לגבי מי שסעיף 26כ חל עליו," והמילים "כהגדרתה בסעיף 26יג" </w:t>
            </w:r>
            <w:r>
              <w:rPr>
                <w:rFonts w:hint="eastAsia"/>
                <w:rtl/>
              </w:rPr>
              <w:t>–</w:t>
            </w:r>
            <w:r>
              <w:rPr>
                <w:rFonts w:hint="cs"/>
                <w:rtl/>
              </w:rPr>
              <w:t xml:space="preserve"> יימחקו;  </w:t>
            </w:r>
          </w:p>
        </w:tc>
      </w:tr>
      <w:tr w:rsidR="009E3980" w14:paraId="31008B8D" w14:textId="77777777" w:rsidTr="004C3E44">
        <w:trPr>
          <w:cantSplit/>
        </w:trPr>
        <w:tc>
          <w:tcPr>
            <w:tcW w:w="1871" w:type="dxa"/>
          </w:tcPr>
          <w:p w14:paraId="34453DBD" w14:textId="77777777" w:rsidR="009E3980" w:rsidRDefault="009E3980" w:rsidP="004C3E44">
            <w:pPr>
              <w:pStyle w:val="TableSideHeading"/>
            </w:pPr>
          </w:p>
        </w:tc>
        <w:tc>
          <w:tcPr>
            <w:tcW w:w="624" w:type="dxa"/>
          </w:tcPr>
          <w:p w14:paraId="5F5E3C06" w14:textId="77777777" w:rsidR="009E3980" w:rsidRDefault="009E3980" w:rsidP="004C3E44">
            <w:pPr>
              <w:pStyle w:val="TableText"/>
            </w:pPr>
          </w:p>
        </w:tc>
        <w:tc>
          <w:tcPr>
            <w:tcW w:w="7143" w:type="dxa"/>
            <w:gridSpan w:val="5"/>
          </w:tcPr>
          <w:p w14:paraId="3D318D25" w14:textId="6522EAB3" w:rsidR="009E3980" w:rsidRDefault="009E3980" w:rsidP="004C3E44">
            <w:pPr>
              <w:pStyle w:val="TableBlock"/>
              <w:rPr>
                <w:rtl/>
              </w:rPr>
            </w:pPr>
            <w:r>
              <w:rPr>
                <w:rFonts w:hint="cs"/>
                <w:rtl/>
              </w:rPr>
              <w:t>(2)</w:t>
            </w:r>
            <w:r>
              <w:rPr>
                <w:rtl/>
              </w:rPr>
              <w:tab/>
            </w:r>
            <w:r>
              <w:rPr>
                <w:rFonts w:hint="cs"/>
                <w:rtl/>
              </w:rPr>
              <w:t>בפסקה (3)</w:t>
            </w:r>
            <w:r w:rsidR="00F949A8">
              <w:rPr>
                <w:rFonts w:hint="cs"/>
                <w:rtl/>
              </w:rPr>
              <w:t>,</w:t>
            </w:r>
            <w:r>
              <w:rPr>
                <w:rFonts w:hint="cs"/>
                <w:rtl/>
              </w:rPr>
              <w:t xml:space="preserve"> המילים "לפי סעיפים 3 ו-5" </w:t>
            </w:r>
            <w:r>
              <w:rPr>
                <w:rFonts w:hint="eastAsia"/>
                <w:rtl/>
              </w:rPr>
              <w:t>–</w:t>
            </w:r>
            <w:r>
              <w:rPr>
                <w:rFonts w:hint="cs"/>
                <w:rtl/>
              </w:rPr>
              <w:t xml:space="preserve"> יימחקו.  </w:t>
            </w:r>
          </w:p>
        </w:tc>
      </w:tr>
      <w:tr w:rsidR="009E3980" w14:paraId="15750D1B" w14:textId="77777777" w:rsidTr="004C3E44">
        <w:trPr>
          <w:cantSplit/>
        </w:trPr>
        <w:tc>
          <w:tcPr>
            <w:tcW w:w="1871" w:type="dxa"/>
          </w:tcPr>
          <w:p w14:paraId="7CF66228" w14:textId="77777777" w:rsidR="009E3980" w:rsidRDefault="009E3980" w:rsidP="004C3E44">
            <w:pPr>
              <w:pStyle w:val="TableSideHeading"/>
            </w:pPr>
            <w:r>
              <w:rPr>
                <w:rFonts w:hint="cs"/>
                <w:rtl/>
              </w:rPr>
              <w:t>הוספת סעיף 26ל</w:t>
            </w:r>
          </w:p>
        </w:tc>
        <w:tc>
          <w:tcPr>
            <w:tcW w:w="624" w:type="dxa"/>
          </w:tcPr>
          <w:p w14:paraId="132092BE" w14:textId="77777777" w:rsidR="009E3980" w:rsidRDefault="009E3980" w:rsidP="004C3E44">
            <w:pPr>
              <w:pStyle w:val="TableText"/>
            </w:pPr>
            <w:r>
              <w:rPr>
                <w:rFonts w:hint="cs"/>
                <w:rtl/>
              </w:rPr>
              <w:t>13.</w:t>
            </w:r>
          </w:p>
        </w:tc>
        <w:tc>
          <w:tcPr>
            <w:tcW w:w="7143" w:type="dxa"/>
            <w:gridSpan w:val="5"/>
          </w:tcPr>
          <w:p w14:paraId="63AA4063" w14:textId="0792CEA4" w:rsidR="009E3980" w:rsidRPr="00C34DE2" w:rsidRDefault="009E3980" w:rsidP="004C3E44">
            <w:pPr>
              <w:pStyle w:val="TableBlock"/>
            </w:pPr>
            <w:r>
              <w:rPr>
                <w:rFonts w:hint="cs"/>
                <w:rtl/>
              </w:rPr>
              <w:t xml:space="preserve">אחרי סעיף 26כט </w:t>
            </w:r>
            <w:r w:rsidR="00F949A8">
              <w:rPr>
                <w:rFonts w:hint="cs"/>
                <w:rtl/>
              </w:rPr>
              <w:t xml:space="preserve">לחוק העיקרי </w:t>
            </w:r>
            <w:r>
              <w:rPr>
                <w:rFonts w:hint="cs"/>
                <w:rtl/>
              </w:rPr>
              <w:t>יבוא:</w:t>
            </w:r>
          </w:p>
        </w:tc>
      </w:tr>
      <w:tr w:rsidR="009E3980" w14:paraId="01D30F81" w14:textId="77777777" w:rsidTr="004C3E44">
        <w:trPr>
          <w:cantSplit/>
        </w:trPr>
        <w:tc>
          <w:tcPr>
            <w:tcW w:w="1871" w:type="dxa"/>
          </w:tcPr>
          <w:p w14:paraId="468470F1" w14:textId="77777777" w:rsidR="009E3980" w:rsidRDefault="009E3980" w:rsidP="004C3E44">
            <w:pPr>
              <w:pStyle w:val="TableSideHeading"/>
              <w:keepLines w:val="0"/>
            </w:pPr>
          </w:p>
        </w:tc>
        <w:tc>
          <w:tcPr>
            <w:tcW w:w="624" w:type="dxa"/>
          </w:tcPr>
          <w:p w14:paraId="61EDA6DD" w14:textId="77777777" w:rsidR="009E3980" w:rsidRDefault="009E3980" w:rsidP="004C3E44">
            <w:pPr>
              <w:pStyle w:val="TableText"/>
              <w:keepLines w:val="0"/>
            </w:pPr>
          </w:p>
        </w:tc>
        <w:tc>
          <w:tcPr>
            <w:tcW w:w="1872" w:type="dxa"/>
            <w:gridSpan w:val="3"/>
          </w:tcPr>
          <w:p w14:paraId="752759E7" w14:textId="77777777" w:rsidR="009E3980" w:rsidRDefault="009E3980" w:rsidP="004C3E44">
            <w:pPr>
              <w:pStyle w:val="TableInnerSideHeading"/>
            </w:pPr>
            <w:r>
              <w:rPr>
                <w:rFonts w:hint="cs"/>
                <w:rtl/>
              </w:rPr>
              <w:t>"הקמת מוסדות לימוד תורה לכלל הציבור</w:t>
            </w:r>
          </w:p>
        </w:tc>
        <w:tc>
          <w:tcPr>
            <w:tcW w:w="624" w:type="dxa"/>
          </w:tcPr>
          <w:p w14:paraId="01B0E929" w14:textId="77777777" w:rsidR="009E3980" w:rsidRDefault="009E3980" w:rsidP="004C3E44">
            <w:pPr>
              <w:pStyle w:val="TableText"/>
            </w:pPr>
            <w:r>
              <w:rPr>
                <w:rFonts w:hint="cs"/>
                <w:rtl/>
              </w:rPr>
              <w:t>26ל.</w:t>
            </w:r>
          </w:p>
        </w:tc>
        <w:tc>
          <w:tcPr>
            <w:tcW w:w="4647" w:type="dxa"/>
          </w:tcPr>
          <w:p w14:paraId="7AED6F48" w14:textId="260E157D" w:rsidR="009E3980" w:rsidRDefault="009E3980" w:rsidP="004C3E44">
            <w:pPr>
              <w:pStyle w:val="TableBlock"/>
            </w:pPr>
            <w:r>
              <w:rPr>
                <w:rFonts w:hint="cs"/>
                <w:rtl/>
              </w:rPr>
              <w:t>(א)</w:t>
            </w:r>
            <w:r>
              <w:rPr>
                <w:rtl/>
              </w:rPr>
              <w:tab/>
            </w:r>
            <w:r w:rsidRPr="00C67AD1">
              <w:rPr>
                <w:rFonts w:hint="cs"/>
                <w:rtl/>
              </w:rPr>
              <w:t xml:space="preserve">שר הביטחון יקבע בתקנות אמות מידה שיאפשרו גם לאוכלוסיות שאינו נכללות בפרק זה, אך מקיימות את </w:t>
            </w:r>
            <w:r>
              <w:rPr>
                <w:rFonts w:hint="cs"/>
                <w:rtl/>
              </w:rPr>
              <w:t xml:space="preserve">הוראות </w:t>
            </w:r>
            <w:r w:rsidRPr="00C67AD1">
              <w:rPr>
                <w:rFonts w:hint="cs"/>
                <w:rtl/>
              </w:rPr>
              <w:t>סע</w:t>
            </w:r>
            <w:r>
              <w:rPr>
                <w:rFonts w:hint="cs"/>
                <w:rtl/>
              </w:rPr>
              <w:t>יף</w:t>
            </w:r>
            <w:r w:rsidRPr="00C67AD1">
              <w:rPr>
                <w:rFonts w:hint="cs"/>
                <w:rtl/>
              </w:rPr>
              <w:t xml:space="preserve"> 2 לחוק</w:t>
            </w:r>
            <w:r>
              <w:rPr>
                <w:rFonts w:hint="cs"/>
                <w:rtl/>
              </w:rPr>
              <w:t>-</w:t>
            </w:r>
            <w:r w:rsidRPr="00C67AD1">
              <w:rPr>
                <w:rFonts w:hint="cs"/>
                <w:rtl/>
              </w:rPr>
              <w:t>יסוד: לימוד תורה, ובכלל זה במוסדות לימוד תורה למי שאינם דתיים ולנשים, לקבל דחי</w:t>
            </w:r>
            <w:r w:rsidR="00F949A8">
              <w:rPr>
                <w:rFonts w:hint="cs"/>
                <w:rtl/>
              </w:rPr>
              <w:t>י</w:t>
            </w:r>
            <w:r w:rsidRPr="00C67AD1">
              <w:rPr>
                <w:rFonts w:hint="cs"/>
                <w:rtl/>
              </w:rPr>
              <w:t>ת שירות.</w:t>
            </w:r>
          </w:p>
        </w:tc>
      </w:tr>
      <w:tr w:rsidR="009E3980" w14:paraId="13EE1348" w14:textId="77777777" w:rsidTr="004C3E44">
        <w:trPr>
          <w:cantSplit/>
        </w:trPr>
        <w:tc>
          <w:tcPr>
            <w:tcW w:w="1871" w:type="dxa"/>
          </w:tcPr>
          <w:p w14:paraId="1906731A" w14:textId="77777777" w:rsidR="009E3980" w:rsidRDefault="009E3980" w:rsidP="004C3E44">
            <w:pPr>
              <w:pStyle w:val="TableSideHeading"/>
            </w:pPr>
          </w:p>
        </w:tc>
        <w:tc>
          <w:tcPr>
            <w:tcW w:w="624" w:type="dxa"/>
          </w:tcPr>
          <w:p w14:paraId="277A5882" w14:textId="77777777" w:rsidR="009E3980" w:rsidRDefault="009E3980" w:rsidP="004C3E44">
            <w:pPr>
              <w:pStyle w:val="TableText"/>
            </w:pPr>
          </w:p>
        </w:tc>
        <w:tc>
          <w:tcPr>
            <w:tcW w:w="624" w:type="dxa"/>
          </w:tcPr>
          <w:p w14:paraId="1BA23637" w14:textId="77777777" w:rsidR="009E3980" w:rsidRDefault="009E3980" w:rsidP="004C3E44">
            <w:pPr>
              <w:pStyle w:val="TableText"/>
            </w:pPr>
          </w:p>
        </w:tc>
        <w:tc>
          <w:tcPr>
            <w:tcW w:w="624" w:type="dxa"/>
          </w:tcPr>
          <w:p w14:paraId="39069E4B" w14:textId="77777777" w:rsidR="009E3980" w:rsidRDefault="009E3980" w:rsidP="004C3E44">
            <w:pPr>
              <w:pStyle w:val="TableText"/>
            </w:pPr>
          </w:p>
        </w:tc>
        <w:tc>
          <w:tcPr>
            <w:tcW w:w="624" w:type="dxa"/>
          </w:tcPr>
          <w:p w14:paraId="4DF37392" w14:textId="77777777" w:rsidR="009E3980" w:rsidRDefault="009E3980" w:rsidP="004C3E44">
            <w:pPr>
              <w:pStyle w:val="TableText"/>
            </w:pPr>
          </w:p>
        </w:tc>
        <w:tc>
          <w:tcPr>
            <w:tcW w:w="624" w:type="dxa"/>
          </w:tcPr>
          <w:p w14:paraId="0FA57717" w14:textId="77777777" w:rsidR="009E3980" w:rsidRDefault="009E3980" w:rsidP="004C3E44">
            <w:pPr>
              <w:pStyle w:val="TableText"/>
            </w:pPr>
          </w:p>
        </w:tc>
        <w:tc>
          <w:tcPr>
            <w:tcW w:w="4647" w:type="dxa"/>
          </w:tcPr>
          <w:p w14:paraId="59D67908" w14:textId="77777777" w:rsidR="009E3980" w:rsidRDefault="009E3980" w:rsidP="004C3E44">
            <w:pPr>
              <w:pStyle w:val="TableBlock"/>
            </w:pPr>
            <w:r>
              <w:rPr>
                <w:rFonts w:hint="cs"/>
                <w:rtl/>
              </w:rPr>
              <w:t>(ב)</w:t>
            </w:r>
            <w:r>
              <w:rPr>
                <w:rtl/>
              </w:rPr>
              <w:tab/>
            </w:r>
            <w:r w:rsidRPr="00C67AD1">
              <w:rPr>
                <w:rFonts w:hint="cs"/>
                <w:rtl/>
              </w:rPr>
              <w:t xml:space="preserve">אמות המידה יביאו בחשבון את העקרונות הקבועים בחוק זה, ובפרט את הוראות סעיף 26 </w:t>
            </w:r>
            <w:proofErr w:type="spellStart"/>
            <w:r w:rsidRPr="00C67AD1">
              <w:rPr>
                <w:rFonts w:hint="cs"/>
                <w:rtl/>
              </w:rPr>
              <w:t>כג</w:t>
            </w:r>
            <w:proofErr w:type="spellEnd"/>
            <w:r w:rsidRPr="00C67AD1">
              <w:rPr>
                <w:rFonts w:hint="cs"/>
                <w:rtl/>
              </w:rPr>
              <w:t>.</w:t>
            </w:r>
            <w:r>
              <w:rPr>
                <w:rFonts w:hint="cs"/>
                <w:rtl/>
              </w:rPr>
              <w:t>"</w:t>
            </w:r>
          </w:p>
        </w:tc>
      </w:tr>
    </w:tbl>
    <w:p w14:paraId="2F666FCC" w14:textId="77777777" w:rsidR="009E3980" w:rsidRDefault="009E3980" w:rsidP="009E3980">
      <w:pPr>
        <w:pStyle w:val="HeadDivreiHesber"/>
        <w:rPr>
          <w:rtl/>
        </w:rPr>
      </w:pPr>
    </w:p>
    <w:p w14:paraId="07DBB942" w14:textId="77777777" w:rsidR="009E3980" w:rsidRDefault="009E3980" w:rsidP="009E3980">
      <w:pPr>
        <w:pStyle w:val="HeadDivreiHesber"/>
        <w:rPr>
          <w:rtl/>
        </w:rPr>
      </w:pPr>
    </w:p>
    <w:p w14:paraId="135ECBC8" w14:textId="77777777" w:rsidR="009E3980" w:rsidRDefault="009E3980" w:rsidP="009E3980">
      <w:pPr>
        <w:pStyle w:val="HeadDivreiHesber"/>
        <w:tabs>
          <w:tab w:val="left" w:pos="3983"/>
        </w:tabs>
        <w:jc w:val="both"/>
        <w:rPr>
          <w:rtl/>
        </w:rPr>
      </w:pPr>
      <w:r>
        <w:rPr>
          <w:rtl/>
        </w:rPr>
        <w:tab/>
      </w:r>
      <w:r>
        <w:rPr>
          <w:rFonts w:hint="cs"/>
          <w:rtl/>
        </w:rPr>
        <w:t>דברי הסבר</w:t>
      </w:r>
    </w:p>
    <w:p w14:paraId="36BC70FA" w14:textId="32EEBD6B" w:rsidR="009E3980" w:rsidRPr="00E85C94" w:rsidRDefault="00F949A8" w:rsidP="009E3980">
      <w:pPr>
        <w:pStyle w:val="Hesber"/>
        <w:spacing w:after="0"/>
        <w:ind w:left="0" w:firstLine="340"/>
      </w:pPr>
      <w:r>
        <w:rPr>
          <w:rFonts w:hint="cs"/>
          <w:rtl/>
        </w:rPr>
        <w:t>הצעת חוק זו</w:t>
      </w:r>
      <w:r w:rsidR="009E3980" w:rsidRPr="00E85C94">
        <w:rPr>
          <w:rFonts w:hint="cs"/>
          <w:rtl/>
        </w:rPr>
        <w:t xml:space="preserve"> מוגש</w:t>
      </w:r>
      <w:r>
        <w:rPr>
          <w:rFonts w:hint="cs"/>
          <w:rtl/>
        </w:rPr>
        <w:t>ת</w:t>
      </w:r>
      <w:r w:rsidR="009E3980" w:rsidRPr="00E85C94">
        <w:rPr>
          <w:rFonts w:hint="cs"/>
          <w:rtl/>
        </w:rPr>
        <w:t xml:space="preserve"> </w:t>
      </w:r>
      <w:r w:rsidR="009E3980">
        <w:rPr>
          <w:rFonts w:hint="cs"/>
          <w:rtl/>
        </w:rPr>
        <w:t>במקביל לקידום</w:t>
      </w:r>
      <w:r w:rsidR="009E3980" w:rsidRPr="00E85C94">
        <w:rPr>
          <w:rFonts w:hint="cs"/>
          <w:rtl/>
        </w:rPr>
        <w:t xml:space="preserve"> הצעת חוק</w:t>
      </w:r>
      <w:r w:rsidR="009E3980">
        <w:rPr>
          <w:rFonts w:hint="cs"/>
          <w:rtl/>
        </w:rPr>
        <w:t>-</w:t>
      </w:r>
      <w:r w:rsidR="009E3980" w:rsidRPr="00E85C94">
        <w:rPr>
          <w:rFonts w:hint="cs"/>
          <w:rtl/>
        </w:rPr>
        <w:t>יסוד: לימוד תורה</w:t>
      </w:r>
      <w:r w:rsidR="009E3980">
        <w:rPr>
          <w:rFonts w:hint="cs"/>
          <w:rtl/>
        </w:rPr>
        <w:t xml:space="preserve"> (להלן </w:t>
      </w:r>
      <w:r w:rsidR="009E3980">
        <w:rPr>
          <w:rFonts w:hint="eastAsia"/>
          <w:rtl/>
        </w:rPr>
        <w:t>–</w:t>
      </w:r>
      <w:r w:rsidR="009E3980">
        <w:rPr>
          <w:rFonts w:hint="cs"/>
          <w:rtl/>
        </w:rPr>
        <w:t xml:space="preserve"> הצעת חוק היסוד)</w:t>
      </w:r>
      <w:r w:rsidR="009E3980" w:rsidRPr="00E85C94">
        <w:rPr>
          <w:rFonts w:hint="cs"/>
          <w:rtl/>
        </w:rPr>
        <w:t xml:space="preserve">. </w:t>
      </w:r>
      <w:r w:rsidR="009E3980">
        <w:rPr>
          <w:rFonts w:hint="cs"/>
          <w:rtl/>
        </w:rPr>
        <w:t xml:space="preserve">הצעת חוק היסוד  מעגנת </w:t>
      </w:r>
      <w:r w:rsidR="009E3980" w:rsidRPr="00E85C94">
        <w:rPr>
          <w:rFonts w:hint="cs"/>
          <w:rtl/>
        </w:rPr>
        <w:t>את החשיבות הרבה והערך הגדול שרואה המדינה בלימוד תורה</w:t>
      </w:r>
      <w:r w:rsidR="009E3980">
        <w:rPr>
          <w:rFonts w:hint="cs"/>
          <w:rtl/>
        </w:rPr>
        <w:t xml:space="preserve">, </w:t>
      </w:r>
      <w:r w:rsidR="009E3980" w:rsidRPr="00E85C94">
        <w:rPr>
          <w:rFonts w:hint="cs"/>
          <w:rtl/>
        </w:rPr>
        <w:t xml:space="preserve">את רצונה לעודד לימוד תורה חוצה מגזרים ולהבהיר </w:t>
      </w:r>
      <w:r w:rsidR="009E3980">
        <w:rPr>
          <w:rFonts w:hint="cs"/>
          <w:rtl/>
        </w:rPr>
        <w:t>שיש להתייחס</w:t>
      </w:r>
      <w:r w:rsidR="009E3980" w:rsidRPr="00E85C94">
        <w:rPr>
          <w:rFonts w:hint="cs"/>
          <w:rtl/>
        </w:rPr>
        <w:t xml:space="preserve"> </w:t>
      </w:r>
      <w:r w:rsidR="009E3980">
        <w:rPr>
          <w:rFonts w:hint="cs"/>
          <w:rtl/>
        </w:rPr>
        <w:t>ל</w:t>
      </w:r>
      <w:r w:rsidR="009E3980" w:rsidRPr="00E85C94">
        <w:rPr>
          <w:rFonts w:hint="cs"/>
          <w:rtl/>
        </w:rPr>
        <w:t>לומדי התורה כ</w:t>
      </w:r>
      <w:r w:rsidR="009E3980">
        <w:rPr>
          <w:rFonts w:hint="cs"/>
          <w:rtl/>
        </w:rPr>
        <w:t>כאלו</w:t>
      </w:r>
      <w:r w:rsidR="009E3980" w:rsidRPr="00E85C94">
        <w:rPr>
          <w:rFonts w:hint="cs"/>
          <w:rtl/>
        </w:rPr>
        <w:t xml:space="preserve"> </w:t>
      </w:r>
      <w:r w:rsidR="009E3980">
        <w:rPr>
          <w:rFonts w:hint="cs"/>
          <w:rtl/>
        </w:rPr>
        <w:t>ה</w:t>
      </w:r>
      <w:r w:rsidR="009E3980" w:rsidRPr="00E85C94">
        <w:rPr>
          <w:rFonts w:hint="cs"/>
          <w:rtl/>
        </w:rPr>
        <w:t>משרתים את העם היהודי ואת מדינת ישראל.</w:t>
      </w:r>
    </w:p>
    <w:p w14:paraId="7646FEEF" w14:textId="45231C28" w:rsidR="009E3980" w:rsidRDefault="00F949A8" w:rsidP="00F949A8">
      <w:pPr>
        <w:pStyle w:val="Hesber"/>
        <w:spacing w:after="0"/>
        <w:ind w:left="0" w:firstLine="340"/>
        <w:rPr>
          <w:rtl/>
        </w:rPr>
      </w:pPr>
      <w:r>
        <w:rPr>
          <w:rFonts w:hint="cs"/>
          <w:rtl/>
        </w:rPr>
        <w:t>כמו כן</w:t>
      </w:r>
      <w:r w:rsidR="009E3980">
        <w:rPr>
          <w:rFonts w:hint="cs"/>
          <w:rtl/>
        </w:rPr>
        <w:t xml:space="preserve">, הצעת </w:t>
      </w:r>
      <w:r w:rsidR="009E3980" w:rsidRPr="00E85C94">
        <w:rPr>
          <w:rFonts w:hint="cs"/>
          <w:rtl/>
        </w:rPr>
        <w:t xml:space="preserve">חוק היסוד </w:t>
      </w:r>
      <w:r w:rsidR="009E3980">
        <w:rPr>
          <w:rFonts w:hint="cs"/>
          <w:rtl/>
        </w:rPr>
        <w:t>מבקשת</w:t>
      </w:r>
      <w:r w:rsidR="009E3980" w:rsidRPr="00E85C94">
        <w:rPr>
          <w:rFonts w:hint="cs"/>
          <w:rtl/>
        </w:rPr>
        <w:t xml:space="preserve"> לתת מענה לסוגיה </w:t>
      </w:r>
      <w:r>
        <w:rPr>
          <w:rFonts w:hint="cs"/>
          <w:rtl/>
        </w:rPr>
        <w:t>ש</w:t>
      </w:r>
      <w:r w:rsidR="009E3980" w:rsidRPr="00E85C94">
        <w:rPr>
          <w:rFonts w:hint="cs"/>
          <w:rtl/>
        </w:rPr>
        <w:t xml:space="preserve">אותה ביקש </w:t>
      </w:r>
      <w:r w:rsidR="009E3980">
        <w:rPr>
          <w:rFonts w:hint="cs"/>
          <w:rtl/>
        </w:rPr>
        <w:t xml:space="preserve">בית הדין הגבוה לצדק (להלן </w:t>
      </w:r>
      <w:r w:rsidR="009E3980">
        <w:rPr>
          <w:rtl/>
        </w:rPr>
        <w:t>–</w:t>
      </w:r>
      <w:r w:rsidR="009E3980">
        <w:rPr>
          <w:rFonts w:hint="cs"/>
          <w:rtl/>
        </w:rPr>
        <w:t xml:space="preserve"> בג"ץ)</w:t>
      </w:r>
      <w:r w:rsidR="009E3980" w:rsidRPr="00E85C94">
        <w:rPr>
          <w:rFonts w:hint="cs"/>
          <w:rtl/>
        </w:rPr>
        <w:t xml:space="preserve"> להסדיר בפסק הדין בג"ץ 1877/14 </w:t>
      </w:r>
      <w:r w:rsidR="009E3980" w:rsidRPr="00F949A8">
        <w:rPr>
          <w:rFonts w:hint="cs"/>
          <w:b/>
          <w:bCs/>
          <w:rtl/>
        </w:rPr>
        <w:t>התנועה למען איכות השלטון בישראל נ' הכנסת</w:t>
      </w:r>
      <w:r w:rsidR="009E3980">
        <w:rPr>
          <w:rFonts w:hint="cs"/>
          <w:rtl/>
        </w:rPr>
        <w:t xml:space="preserve"> </w:t>
      </w:r>
      <w:r w:rsidR="009E3980" w:rsidRPr="00E85C94">
        <w:rPr>
          <w:rFonts w:hint="cs"/>
          <w:rtl/>
        </w:rPr>
        <w:t xml:space="preserve">(פורסם באתר </w:t>
      </w:r>
      <w:r w:rsidR="009E3980">
        <w:rPr>
          <w:rFonts w:hint="cs"/>
          <w:rtl/>
        </w:rPr>
        <w:t>בית המשפט העליון ביום</w:t>
      </w:r>
      <w:r w:rsidR="009E3980" w:rsidRPr="00E85C94">
        <w:rPr>
          <w:rFonts w:hint="cs"/>
          <w:rtl/>
        </w:rPr>
        <w:t xml:space="preserve"> 12.9.17)</w:t>
      </w:r>
      <w:r w:rsidR="009E3980">
        <w:rPr>
          <w:rFonts w:hint="cs"/>
          <w:rtl/>
        </w:rPr>
        <w:t xml:space="preserve">. שם </w:t>
      </w:r>
      <w:r w:rsidR="009E3980" w:rsidRPr="00E85C94">
        <w:rPr>
          <w:rFonts w:hint="cs"/>
          <w:rtl/>
        </w:rPr>
        <w:t xml:space="preserve">הוחלט ברוב דעות לבטל את </w:t>
      </w:r>
      <w:hyperlink r:id="rId11" w:history="1">
        <w:r w:rsidR="009E3980" w:rsidRPr="00C86395">
          <w:rPr>
            <w:rFonts w:hint="cs"/>
            <w:rtl/>
          </w:rPr>
          <w:t>פרק ג'1</w:t>
        </w:r>
      </w:hyperlink>
      <w:r w:rsidR="009E3980" w:rsidRPr="00E85C94">
        <w:t> </w:t>
      </w:r>
      <w:r w:rsidR="009E3980" w:rsidRPr="00E85C94">
        <w:rPr>
          <w:rFonts w:hint="cs"/>
          <w:rtl/>
        </w:rPr>
        <w:t>לחוק שירות בטחון [נ</w:t>
      </w:r>
      <w:r w:rsidR="009E3980">
        <w:rPr>
          <w:rFonts w:hint="cs"/>
          <w:rtl/>
        </w:rPr>
        <w:t xml:space="preserve">וסח משולב], </w:t>
      </w:r>
      <w:proofErr w:type="spellStart"/>
      <w:r w:rsidR="009E3980">
        <w:rPr>
          <w:rFonts w:hint="cs"/>
          <w:rtl/>
        </w:rPr>
        <w:t>התשמ"ו</w:t>
      </w:r>
      <w:proofErr w:type="spellEnd"/>
      <w:r>
        <w:rPr>
          <w:rFonts w:hint="eastAsia"/>
          <w:rtl/>
        </w:rPr>
        <w:t>–</w:t>
      </w:r>
      <w:r w:rsidR="009E3980">
        <w:rPr>
          <w:rFonts w:hint="cs"/>
          <w:rtl/>
        </w:rPr>
        <w:t xml:space="preserve">1986 (להלן </w:t>
      </w:r>
      <w:r w:rsidR="009E3980">
        <w:rPr>
          <w:rFonts w:hint="eastAsia"/>
          <w:rtl/>
        </w:rPr>
        <w:t>–</w:t>
      </w:r>
      <w:r w:rsidR="009E3980">
        <w:rPr>
          <w:rFonts w:hint="cs"/>
          <w:rtl/>
        </w:rPr>
        <w:t xml:space="preserve"> החוק</w:t>
      </w:r>
      <w:r w:rsidR="009E3980" w:rsidRPr="00E85C94">
        <w:rPr>
          <w:rFonts w:hint="cs"/>
          <w:rtl/>
        </w:rPr>
        <w:t>)</w:t>
      </w:r>
      <w:r w:rsidR="009E3980">
        <w:rPr>
          <w:rFonts w:hint="cs"/>
          <w:rtl/>
        </w:rPr>
        <w:t>,</w:t>
      </w:r>
      <w:r w:rsidR="009E3980" w:rsidRPr="00E85C94">
        <w:rPr>
          <w:rFonts w:hint="cs"/>
          <w:rtl/>
        </w:rPr>
        <w:t xml:space="preserve"> תוך קביעה כי בטלותו </w:t>
      </w:r>
      <w:r w:rsidR="009E3980">
        <w:rPr>
          <w:rFonts w:hint="cs"/>
          <w:rtl/>
        </w:rPr>
        <w:t xml:space="preserve">של הפרק </w:t>
      </w:r>
      <w:r w:rsidR="009E3980" w:rsidRPr="00E85C94">
        <w:rPr>
          <w:rFonts w:hint="cs"/>
          <w:rtl/>
        </w:rPr>
        <w:t xml:space="preserve">תיכנס לתוקף </w:t>
      </w:r>
      <w:r w:rsidR="009E3980">
        <w:rPr>
          <w:rFonts w:hint="cs"/>
          <w:rtl/>
        </w:rPr>
        <w:t>שנה לאחר יום מתן פסק הדין</w:t>
      </w:r>
      <w:r w:rsidR="009E3980" w:rsidRPr="00E85C94">
        <w:rPr>
          <w:rFonts w:hint="cs"/>
          <w:rtl/>
        </w:rPr>
        <w:t xml:space="preserve">. </w:t>
      </w:r>
      <w:r w:rsidR="009E3980">
        <w:rPr>
          <w:rFonts w:hint="cs"/>
          <w:rtl/>
        </w:rPr>
        <w:t xml:space="preserve">הצעת </w:t>
      </w:r>
      <w:r w:rsidR="009E3980" w:rsidRPr="00E85C94">
        <w:rPr>
          <w:rFonts w:hint="cs"/>
          <w:rtl/>
        </w:rPr>
        <w:t>חוק היסוד נועד</w:t>
      </w:r>
      <w:r w:rsidR="009E3980">
        <w:rPr>
          <w:rFonts w:hint="cs"/>
          <w:rtl/>
        </w:rPr>
        <w:t>ה</w:t>
      </w:r>
      <w:r w:rsidR="009E3980" w:rsidRPr="00E85C94">
        <w:rPr>
          <w:rFonts w:hint="cs"/>
          <w:rtl/>
        </w:rPr>
        <w:t xml:space="preserve"> להבהיר את עמדתה של הכנסת, המעגנת בחוק יסוד את מדיניותן של כל ממשלות ישראל, ולפיה לאור מרכזיותו של ערך לימוד התורה וחשיבותו כשירות לעם היהודי</w:t>
      </w:r>
      <w:r w:rsidR="009E3980">
        <w:rPr>
          <w:rFonts w:hint="cs"/>
          <w:rtl/>
        </w:rPr>
        <w:t>,</w:t>
      </w:r>
      <w:r w:rsidR="009E3980" w:rsidRPr="00E85C94">
        <w:rPr>
          <w:rFonts w:hint="cs"/>
          <w:rtl/>
        </w:rPr>
        <w:t xml:space="preserve"> יש מקום ליצור הסדר דחיה למי שמבקש להקדיש </w:t>
      </w:r>
      <w:r w:rsidR="009E3980">
        <w:rPr>
          <w:rFonts w:hint="cs"/>
          <w:rtl/>
        </w:rPr>
        <w:t>את זמנו</w:t>
      </w:r>
      <w:r w:rsidR="009E3980" w:rsidRPr="00E85C94">
        <w:rPr>
          <w:rFonts w:hint="cs"/>
          <w:rtl/>
        </w:rPr>
        <w:t xml:space="preserve"> ללימוד תורה לתקופה ממושכת. </w:t>
      </w:r>
    </w:p>
    <w:p w14:paraId="1CAF080B" w14:textId="6765519F" w:rsidR="009E3980" w:rsidRDefault="009E3980" w:rsidP="00F949A8">
      <w:pPr>
        <w:pStyle w:val="Hesber"/>
        <w:spacing w:after="0"/>
        <w:ind w:left="0" w:firstLine="340"/>
        <w:rPr>
          <w:rtl/>
        </w:rPr>
      </w:pPr>
      <w:r>
        <w:rPr>
          <w:rFonts w:hint="cs"/>
          <w:rtl/>
        </w:rPr>
        <w:t xml:space="preserve">במקביל להצעת חוק היסוד, </w:t>
      </w:r>
      <w:r w:rsidRPr="00E85C94">
        <w:rPr>
          <w:rFonts w:hint="cs"/>
          <w:rtl/>
        </w:rPr>
        <w:t>הצע</w:t>
      </w:r>
      <w:r>
        <w:rPr>
          <w:rFonts w:hint="cs"/>
          <w:rtl/>
        </w:rPr>
        <w:t>ת חוק זו</w:t>
      </w:r>
      <w:r w:rsidRPr="00E85C94">
        <w:rPr>
          <w:rFonts w:hint="cs"/>
          <w:rtl/>
        </w:rPr>
        <w:t xml:space="preserve"> </w:t>
      </w:r>
      <w:r w:rsidR="00F949A8">
        <w:rPr>
          <w:rFonts w:hint="cs"/>
          <w:rtl/>
        </w:rPr>
        <w:t>נועדה</w:t>
      </w:r>
      <w:r w:rsidRPr="00E85C94">
        <w:rPr>
          <w:rFonts w:hint="cs"/>
          <w:rtl/>
        </w:rPr>
        <w:t xml:space="preserve"> להציג את ההסדר בפועל </w:t>
      </w:r>
      <w:r>
        <w:rPr>
          <w:rFonts w:hint="cs"/>
          <w:rtl/>
        </w:rPr>
        <w:t xml:space="preserve">תוך קביעה עקרונית בדבר שיווי המשקל הראוי אותו יש לייחס ללימוד התורה אל מול הערותיו של בג"ץ. מוצע לתקן את </w:t>
      </w:r>
      <w:r w:rsidRPr="00E85C94">
        <w:rPr>
          <w:rFonts w:hint="cs"/>
          <w:rtl/>
        </w:rPr>
        <w:t>סעיף 26ג</w:t>
      </w:r>
      <w:r>
        <w:rPr>
          <w:rFonts w:hint="cs"/>
          <w:rtl/>
        </w:rPr>
        <w:t xml:space="preserve"> לחוק ו</w:t>
      </w:r>
      <w:r w:rsidRPr="00E85C94">
        <w:rPr>
          <w:rFonts w:hint="cs"/>
          <w:rtl/>
        </w:rPr>
        <w:t>להבהיר את שינוי מעמדו של ערך לימוד התורה.</w:t>
      </w:r>
      <w:r>
        <w:rPr>
          <w:rFonts w:hint="cs"/>
          <w:rtl/>
        </w:rPr>
        <w:t xml:space="preserve"> </w:t>
      </w:r>
      <w:r w:rsidR="00F949A8">
        <w:rPr>
          <w:rFonts w:hint="cs"/>
          <w:rtl/>
        </w:rPr>
        <w:t>כמו כן</w:t>
      </w:r>
      <w:r>
        <w:rPr>
          <w:rFonts w:hint="cs"/>
          <w:rtl/>
        </w:rPr>
        <w:t xml:space="preserve">, </w:t>
      </w:r>
      <w:r w:rsidRPr="00E85C94">
        <w:rPr>
          <w:rFonts w:hint="cs"/>
          <w:rtl/>
        </w:rPr>
        <w:t xml:space="preserve">מוצע כי שר הביטחון ידחה את השירות למי שעומד ביתר התנאים הקבועים בחוק. </w:t>
      </w:r>
      <w:r w:rsidR="00F949A8">
        <w:rPr>
          <w:rFonts w:hint="cs"/>
          <w:rtl/>
        </w:rPr>
        <w:t>עוד מוצע לבטל</w:t>
      </w:r>
      <w:r w:rsidRPr="00E85C94">
        <w:rPr>
          <w:rFonts w:hint="cs"/>
          <w:rtl/>
        </w:rPr>
        <w:t xml:space="preserve"> את תקופת ההסתגלות השנ</w:t>
      </w:r>
      <w:r>
        <w:rPr>
          <w:rFonts w:hint="cs"/>
          <w:rtl/>
        </w:rPr>
        <w:t>י</w:t>
      </w:r>
      <w:r w:rsidRPr="00E85C94">
        <w:rPr>
          <w:rFonts w:hint="cs"/>
          <w:rtl/>
        </w:rPr>
        <w:t>יה</w:t>
      </w:r>
      <w:r>
        <w:rPr>
          <w:rFonts w:hint="cs"/>
          <w:rtl/>
        </w:rPr>
        <w:t xml:space="preserve"> הקבועה בחוק. במקום זאת, </w:t>
      </w:r>
      <w:r w:rsidR="00F949A8">
        <w:rPr>
          <w:rFonts w:hint="cs"/>
          <w:rtl/>
        </w:rPr>
        <w:t>מוצע לקבוע</w:t>
      </w:r>
      <w:r w:rsidRPr="00E85C94">
        <w:rPr>
          <w:rFonts w:hint="cs"/>
          <w:rtl/>
        </w:rPr>
        <w:t xml:space="preserve"> תקופת הסתגלות אחת בלבד בת ארבע שנים. תקופה זו תוארך באופן אוטומטי </w:t>
      </w:r>
      <w:r>
        <w:rPr>
          <w:rFonts w:hint="cs"/>
          <w:rtl/>
        </w:rPr>
        <w:t>במידה</w:t>
      </w:r>
      <w:r w:rsidRPr="00E85C94">
        <w:rPr>
          <w:rFonts w:hint="cs"/>
          <w:rtl/>
        </w:rPr>
        <w:t xml:space="preserve"> </w:t>
      </w:r>
      <w:r>
        <w:rPr>
          <w:rFonts w:hint="cs"/>
          <w:rtl/>
        </w:rPr>
        <w:t>ו</w:t>
      </w:r>
      <w:r w:rsidRPr="00E85C94">
        <w:rPr>
          <w:rFonts w:hint="cs"/>
          <w:rtl/>
        </w:rPr>
        <w:t>תהי</w:t>
      </w:r>
      <w:r>
        <w:rPr>
          <w:rFonts w:hint="cs"/>
          <w:rtl/>
        </w:rPr>
        <w:t>ה עמידה ביעדי הגיוס הקבועים בהסדר</w:t>
      </w:r>
      <w:r w:rsidRPr="00E85C94">
        <w:rPr>
          <w:rFonts w:hint="cs"/>
          <w:rtl/>
        </w:rPr>
        <w:t xml:space="preserve">. </w:t>
      </w:r>
    </w:p>
    <w:p w14:paraId="01D45329" w14:textId="34F93547" w:rsidR="009E3980" w:rsidRDefault="009E3980" w:rsidP="009E3980">
      <w:pPr>
        <w:pStyle w:val="Hesber"/>
        <w:spacing w:after="0"/>
        <w:ind w:left="0" w:firstLine="340"/>
        <w:rPr>
          <w:rtl/>
        </w:rPr>
      </w:pPr>
      <w:r w:rsidRPr="00792C29">
        <w:rPr>
          <w:rFonts w:hint="eastAsia"/>
          <w:rtl/>
        </w:rPr>
        <w:t>לנוכח</w:t>
      </w:r>
      <w:r w:rsidRPr="00792C29">
        <w:rPr>
          <w:rtl/>
        </w:rPr>
        <w:t xml:space="preserve"> הערות </w:t>
      </w:r>
      <w:r>
        <w:rPr>
          <w:rFonts w:hint="cs"/>
          <w:rtl/>
        </w:rPr>
        <w:t xml:space="preserve">בג"ץ </w:t>
      </w:r>
      <w:r w:rsidRPr="00792C29">
        <w:rPr>
          <w:rFonts w:hint="eastAsia"/>
          <w:rtl/>
        </w:rPr>
        <w:t>לגבי</w:t>
      </w:r>
      <w:r w:rsidRPr="00792C29">
        <w:rPr>
          <w:rtl/>
        </w:rPr>
        <w:t xml:space="preserve"> הגדרת "בוגר מוסד חינוך חרדי" הקבועה בחוק, מוצע לתקן את ההגדרה כך שזו לא תכלול </w:t>
      </w:r>
      <w:r>
        <w:rPr>
          <w:rFonts w:hint="cs"/>
          <w:rtl/>
        </w:rPr>
        <w:t>מיועד לשירות ביטחון</w:t>
      </w:r>
      <w:r w:rsidRPr="00792C29">
        <w:rPr>
          <w:rtl/>
        </w:rPr>
        <w:t xml:space="preserve"> אשר הודיע כי הוא איננו שומר תורה ומצוות</w:t>
      </w:r>
      <w:r>
        <w:rPr>
          <w:rFonts w:hint="cs"/>
          <w:rtl/>
        </w:rPr>
        <w:t xml:space="preserve"> ולבטל את ההסדר שנקבע </w:t>
      </w:r>
      <w:r w:rsidRPr="00E85C94">
        <w:rPr>
          <w:rFonts w:hint="cs"/>
          <w:rtl/>
        </w:rPr>
        <w:t>בסעיף 26טו(ו)</w:t>
      </w:r>
      <w:r>
        <w:rPr>
          <w:rFonts w:hint="cs"/>
          <w:rtl/>
        </w:rPr>
        <w:t xml:space="preserve">. כמו כן, </w:t>
      </w:r>
      <w:r w:rsidRPr="00E85C94">
        <w:rPr>
          <w:rFonts w:hint="cs"/>
          <w:rtl/>
        </w:rPr>
        <w:t>מוצע</w:t>
      </w:r>
      <w:r>
        <w:rPr>
          <w:rFonts w:hint="cs"/>
          <w:rtl/>
        </w:rPr>
        <w:t xml:space="preserve"> לקבוע</w:t>
      </w:r>
      <w:r w:rsidRPr="00E85C94">
        <w:rPr>
          <w:rFonts w:hint="cs"/>
          <w:rtl/>
        </w:rPr>
        <w:t xml:space="preserve"> כי בהיעדר עמידה ביעדי הגיוס בכל אחת מהשנים</w:t>
      </w:r>
      <w:r w:rsidR="002B3AD9">
        <w:rPr>
          <w:rFonts w:hint="cs"/>
          <w:rtl/>
        </w:rPr>
        <w:t xml:space="preserve"> החל משנת 2021</w:t>
      </w:r>
      <w:r>
        <w:rPr>
          <w:rFonts w:hint="cs"/>
          <w:rtl/>
        </w:rPr>
        <w:t>,</w:t>
      </w:r>
      <w:r w:rsidRPr="00E85C94">
        <w:rPr>
          <w:rFonts w:hint="cs"/>
          <w:rtl/>
        </w:rPr>
        <w:t xml:space="preserve"> תחויב הממשלה להציע פתרון לאי העמידה ביעדים.</w:t>
      </w:r>
      <w:r>
        <w:rPr>
          <w:rFonts w:hint="cs"/>
          <w:rtl/>
        </w:rPr>
        <w:t xml:space="preserve"> פתרון שייבחן על ידי ועדת החוץ והביטחון של הכנסת. אישור הפתרון יינתן על ידי ועדת החוץ והביטחון או על ידי מליאת הכנסת. </w:t>
      </w:r>
      <w:r w:rsidRPr="00E85C94">
        <w:rPr>
          <w:rFonts w:hint="cs"/>
          <w:rtl/>
        </w:rPr>
        <w:t xml:space="preserve">כך </w:t>
      </w:r>
      <w:r>
        <w:rPr>
          <w:rFonts w:hint="cs"/>
          <w:rtl/>
        </w:rPr>
        <w:t>ייווצ</w:t>
      </w:r>
      <w:r>
        <w:rPr>
          <w:rFonts w:hint="eastAsia"/>
          <w:rtl/>
        </w:rPr>
        <w:t>ר</w:t>
      </w:r>
      <w:r w:rsidRPr="00E85C94">
        <w:rPr>
          <w:rFonts w:hint="cs"/>
          <w:rtl/>
        </w:rPr>
        <w:t xml:space="preserve"> מנגנ</w:t>
      </w:r>
      <w:r>
        <w:rPr>
          <w:rFonts w:hint="cs"/>
          <w:rtl/>
        </w:rPr>
        <w:t>ון בקרה ו</w:t>
      </w:r>
      <w:r w:rsidRPr="00E85C94">
        <w:rPr>
          <w:rFonts w:hint="cs"/>
          <w:rtl/>
        </w:rPr>
        <w:t>פיקוח</w:t>
      </w:r>
      <w:r>
        <w:rPr>
          <w:rFonts w:hint="cs"/>
          <w:rtl/>
        </w:rPr>
        <w:t xml:space="preserve"> הדוק על קיום ההסדר. </w:t>
      </w:r>
    </w:p>
    <w:p w14:paraId="4986F21C" w14:textId="70A0F845" w:rsidR="009E3980" w:rsidRDefault="00F949A8" w:rsidP="009E3980">
      <w:pPr>
        <w:pStyle w:val="Hesber"/>
        <w:spacing w:after="0"/>
        <w:ind w:left="0" w:firstLine="340"/>
        <w:rPr>
          <w:rtl/>
        </w:rPr>
      </w:pPr>
      <w:r>
        <w:rPr>
          <w:rFonts w:hint="cs"/>
          <w:rtl/>
        </w:rPr>
        <w:t>כמו כן</w:t>
      </w:r>
      <w:r w:rsidR="009E3980">
        <w:rPr>
          <w:rFonts w:hint="cs"/>
          <w:rtl/>
        </w:rPr>
        <w:t>, ובהתאם להצעת</w:t>
      </w:r>
      <w:r w:rsidR="009E3980" w:rsidRPr="00E85C94">
        <w:rPr>
          <w:rFonts w:hint="cs"/>
          <w:rtl/>
        </w:rPr>
        <w:t xml:space="preserve"> חוק </w:t>
      </w:r>
      <w:r w:rsidR="009E3980">
        <w:rPr>
          <w:rFonts w:hint="cs"/>
          <w:rtl/>
        </w:rPr>
        <w:t>ה</w:t>
      </w:r>
      <w:r w:rsidR="009E3980" w:rsidRPr="00E85C94">
        <w:rPr>
          <w:rFonts w:hint="cs"/>
          <w:rtl/>
        </w:rPr>
        <w:t>יסוד</w:t>
      </w:r>
      <w:r w:rsidR="009E3980">
        <w:rPr>
          <w:rFonts w:hint="cs"/>
          <w:rtl/>
        </w:rPr>
        <w:t xml:space="preserve">, </w:t>
      </w:r>
      <w:r w:rsidR="009E3980" w:rsidRPr="00E85C94">
        <w:rPr>
          <w:rFonts w:hint="cs"/>
          <w:rtl/>
        </w:rPr>
        <w:t>מוצע לתקן מספר עניינים, דוגמת הוספת חברים לצוות הבין-משרד</w:t>
      </w:r>
      <w:r w:rsidR="009E3980" w:rsidRPr="00E85C94">
        <w:rPr>
          <w:rFonts w:hint="eastAsia"/>
          <w:rtl/>
        </w:rPr>
        <w:t>י</w:t>
      </w:r>
      <w:r>
        <w:rPr>
          <w:rFonts w:hint="cs"/>
          <w:rtl/>
        </w:rPr>
        <w:t xml:space="preserve"> והוספת הוראה </w:t>
      </w:r>
      <w:r w:rsidR="009E3980">
        <w:rPr>
          <w:rFonts w:hint="cs"/>
          <w:rtl/>
        </w:rPr>
        <w:t xml:space="preserve">לפיה </w:t>
      </w:r>
      <w:r w:rsidR="009E3980" w:rsidRPr="00E85C94">
        <w:rPr>
          <w:rFonts w:hint="cs"/>
          <w:rtl/>
        </w:rPr>
        <w:t>קביעת היעדים וההתייחסות אל העמידה בהם</w:t>
      </w:r>
      <w:r w:rsidR="009E3980">
        <w:rPr>
          <w:rFonts w:hint="cs"/>
          <w:rtl/>
        </w:rPr>
        <w:t>,</w:t>
      </w:r>
      <w:r w:rsidR="009E3980" w:rsidRPr="00E85C94">
        <w:rPr>
          <w:rFonts w:hint="cs"/>
          <w:rtl/>
        </w:rPr>
        <w:t xml:space="preserve"> תיעשה בשים להוראות </w:t>
      </w:r>
      <w:r w:rsidR="009E3980">
        <w:rPr>
          <w:rFonts w:hint="cs"/>
          <w:rtl/>
        </w:rPr>
        <w:t xml:space="preserve">חוק היסוד. </w:t>
      </w:r>
      <w:r w:rsidR="009E3980" w:rsidRPr="00E85C94">
        <w:rPr>
          <w:rFonts w:hint="cs"/>
          <w:rtl/>
        </w:rPr>
        <w:t xml:space="preserve"> </w:t>
      </w:r>
    </w:p>
    <w:p w14:paraId="5902E813" w14:textId="77777777" w:rsidR="009E3980" w:rsidRPr="00E85C94" w:rsidRDefault="009E3980" w:rsidP="009E3980">
      <w:pPr>
        <w:pStyle w:val="Hesber"/>
        <w:spacing w:after="0"/>
        <w:ind w:left="0" w:firstLine="340"/>
        <w:rPr>
          <w:rtl/>
        </w:rPr>
      </w:pPr>
      <w:r>
        <w:rPr>
          <w:rFonts w:hint="cs"/>
          <w:rtl/>
        </w:rPr>
        <w:t>לבסוף, מוצע להוסיף את סעיף 26ל לחוק. סעיף זה מבקש להבהיר כי לימוד התורה אינ</w:t>
      </w:r>
      <w:r w:rsidRPr="00E85C94">
        <w:rPr>
          <w:rFonts w:hint="cs"/>
          <w:rtl/>
        </w:rPr>
        <w:t>נו שייך למגזר מסוים</w:t>
      </w:r>
      <w:r>
        <w:rPr>
          <w:rFonts w:hint="cs"/>
          <w:rtl/>
        </w:rPr>
        <w:t xml:space="preserve"> או מ</w:t>
      </w:r>
      <w:r w:rsidRPr="00E85C94">
        <w:rPr>
          <w:rFonts w:hint="cs"/>
          <w:rtl/>
        </w:rPr>
        <w:t xml:space="preserve">וגבל דווקא לגברים </w:t>
      </w:r>
      <w:r>
        <w:rPr>
          <w:rFonts w:hint="cs"/>
          <w:rtl/>
        </w:rPr>
        <w:t>ו</w:t>
      </w:r>
      <w:r w:rsidRPr="00E85C94">
        <w:rPr>
          <w:rFonts w:hint="cs"/>
          <w:rtl/>
        </w:rPr>
        <w:t xml:space="preserve">ללומדי תורה מהמגזר החרדי. משכך, </w:t>
      </w:r>
      <w:r>
        <w:rPr>
          <w:rFonts w:hint="cs"/>
          <w:rtl/>
        </w:rPr>
        <w:t>הצעת החוק מטילה</w:t>
      </w:r>
      <w:r w:rsidRPr="00E85C94">
        <w:rPr>
          <w:rFonts w:hint="cs"/>
          <w:rtl/>
        </w:rPr>
        <w:t xml:space="preserve"> על שר הביטחון לוודא כי דחיית שירות תינתן לכל מי שיבקש להקדיש את עצמו למשך תקופה משמעותית ללימוד תורה, בתנאים </w:t>
      </w:r>
      <w:r>
        <w:rPr>
          <w:rFonts w:hint="cs"/>
          <w:rtl/>
        </w:rPr>
        <w:t>הדומים</w:t>
      </w:r>
      <w:r w:rsidRPr="00E85C94">
        <w:rPr>
          <w:rFonts w:hint="cs"/>
          <w:rtl/>
        </w:rPr>
        <w:t xml:space="preserve"> </w:t>
      </w:r>
      <w:r>
        <w:rPr>
          <w:rFonts w:hint="cs"/>
          <w:rtl/>
        </w:rPr>
        <w:t xml:space="preserve">לקבוע בהצעת החוק זו ובחוק הקיים.  </w:t>
      </w:r>
    </w:p>
    <w:p w14:paraId="4307D073" w14:textId="77777777" w:rsidR="00F949A8" w:rsidRDefault="00F949A8" w:rsidP="00F949A8">
      <w:pPr>
        <w:pStyle w:val="Hesber"/>
      </w:pPr>
      <w:r>
        <w:rPr>
          <w:rFonts w:hint="cs"/>
          <w:rtl/>
        </w:rPr>
        <w:t>---------------------------------</w:t>
      </w:r>
    </w:p>
    <w:p w14:paraId="1DD49D14" w14:textId="77777777" w:rsidR="00F949A8" w:rsidRDefault="00F949A8" w:rsidP="00F949A8">
      <w:pPr>
        <w:pStyle w:val="Hesber"/>
        <w:rPr>
          <w:rtl/>
        </w:rPr>
      </w:pPr>
      <w:r>
        <w:rPr>
          <w:rFonts w:hint="cs"/>
          <w:rtl/>
        </w:rPr>
        <w:t>הוגשה ליו"ר הכנסת והסגנים</w:t>
      </w:r>
    </w:p>
    <w:p w14:paraId="009ABED1" w14:textId="77777777" w:rsidR="00F949A8" w:rsidRDefault="00F949A8" w:rsidP="00F949A8">
      <w:pPr>
        <w:pStyle w:val="Hesber"/>
        <w:rPr>
          <w:rtl/>
        </w:rPr>
      </w:pPr>
      <w:r>
        <w:rPr>
          <w:rFonts w:hint="cs"/>
          <w:rtl/>
        </w:rPr>
        <w:t>והונחה על שולחן הכנסת ביום</w:t>
      </w:r>
    </w:p>
    <w:p w14:paraId="7F6961CB" w14:textId="68B23A16" w:rsidR="00E13C27" w:rsidRPr="002B3AD9" w:rsidRDefault="00F949A8" w:rsidP="00F949A8">
      <w:pPr>
        <w:pStyle w:val="Hesber"/>
        <w:rPr>
          <w:rtl/>
        </w:rPr>
      </w:pPr>
      <w:r>
        <w:rPr>
          <w:rtl/>
        </w:rPr>
        <w:t xml:space="preserve">י"א באדר </w:t>
      </w:r>
      <w:proofErr w:type="spellStart"/>
      <w:r>
        <w:rPr>
          <w:rtl/>
        </w:rPr>
        <w:t>התשע"ח</w:t>
      </w:r>
      <w:proofErr w:type="spellEnd"/>
      <w:r>
        <w:rPr>
          <w:rtl/>
        </w:rPr>
        <w:t xml:space="preserve"> – 26.2.18</w:t>
      </w:r>
      <w:bookmarkStart w:id="6" w:name="_GoBack"/>
      <w:bookmarkEnd w:id="6"/>
    </w:p>
    <w:sectPr w:rsidR="00E13C27" w:rsidRPr="002B3AD9" w:rsidSect="002B3AD9">
      <w:footerReference w:type="even" r:id="rId12"/>
      <w:footerReference w:type="default" r:id="rId13"/>
      <w:pgSz w:w="11907" w:h="16840" w:code="9"/>
      <w:pgMar w:top="1134" w:right="1134" w:bottom="1134" w:left="1134" w:header="680" w:footer="680" w:gutter="0"/>
      <w:cols w:space="720"/>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adasa Roso SL">
    <w:altName w:val="Times New Roman"/>
    <w:charset w:val="00"/>
    <w:family w:val="roman"/>
    <w:pitch w:val="variable"/>
    <w:sig w:usb0="80001827" w:usb1="5000004A" w:usb2="0000002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b"/>
      <w:framePr w:wrap="around" w:vAnchor="text" w:hAnchor="text" w:xAlign="center" w:y="1"/>
      <w:rPr>
        <w:rStyle w:val="ae"/>
      </w:rPr>
    </w:pPr>
    <w:r>
      <w:rPr>
        <w:rStyle w:val="ae"/>
        <w:rtl/>
      </w:rPr>
      <w:fldChar w:fldCharType="begin"/>
    </w:r>
    <w:r>
      <w:rPr>
        <w:rStyle w:val="ae"/>
      </w:rPr>
      <w:instrText xml:space="preserve">PAGE  </w:instrText>
    </w:r>
    <w:r>
      <w:rPr>
        <w:rStyle w:val="ae"/>
        <w:rtl/>
      </w:rPr>
      <w:fldChar w:fldCharType="end"/>
    </w:r>
  </w:p>
  <w:p w14:paraId="7F6961D6" w14:textId="77777777" w:rsidR="002C3041" w:rsidRDefault="002C304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b"/>
      <w:framePr w:wrap="around" w:vAnchor="text" w:hAnchor="text" w:xAlign="center" w:y="1"/>
      <w:rPr>
        <w:rStyle w:val="ae"/>
      </w:rPr>
    </w:pPr>
    <w:r>
      <w:rPr>
        <w:rStyle w:val="ae"/>
        <w:rtl/>
      </w:rPr>
      <w:fldChar w:fldCharType="begin"/>
    </w:r>
    <w:r>
      <w:rPr>
        <w:rStyle w:val="ae"/>
      </w:rPr>
      <w:instrText xml:space="preserve">PAGE  </w:instrText>
    </w:r>
    <w:r>
      <w:rPr>
        <w:rStyle w:val="ae"/>
        <w:rtl/>
      </w:rPr>
      <w:fldChar w:fldCharType="separate"/>
    </w:r>
    <w:r w:rsidR="00F949A8">
      <w:rPr>
        <w:rStyle w:val="ae"/>
        <w:noProof/>
        <w:rtl/>
      </w:rPr>
      <w:t>4</w:t>
    </w:r>
    <w:r>
      <w:rPr>
        <w:rStyle w:val="ae"/>
        <w:rtl/>
      </w:rPr>
      <w:fldChar w:fldCharType="end"/>
    </w:r>
  </w:p>
  <w:p w14:paraId="7F6961D8" w14:textId="77777777" w:rsidR="002C3041" w:rsidRDefault="002C304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684E74DC" w14:textId="77777777" w:rsidR="009E3980" w:rsidRDefault="009E3980" w:rsidP="009E3980">
      <w:pPr>
        <w:pStyle w:val="a5"/>
      </w:pPr>
      <w:r>
        <w:rPr>
          <w:rStyle w:val="a7"/>
        </w:rPr>
        <w:footnoteRef/>
      </w:r>
      <w:r>
        <w:rPr>
          <w:rtl/>
        </w:rPr>
        <w:t xml:space="preserve"> ס"ח התשמ"ו, עמ' 107.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A64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C67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9A8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F06F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6640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5678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6C2E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36B9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02A4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82B7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5"/>
  </w:num>
  <w:num w:numId="15">
    <w:abstractNumId w:val="13"/>
  </w:num>
  <w:num w:numId="16">
    <w:abstractNumId w:val="13"/>
    <w:lvlOverride w:ilvl="0">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0B6AB6"/>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83A10"/>
    <w:rsid w:val="00292712"/>
    <w:rsid w:val="002A487D"/>
    <w:rsid w:val="002B3AD9"/>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A2325"/>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43EB2"/>
    <w:rsid w:val="008612DC"/>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9E3980"/>
    <w:rsid w:val="00A14672"/>
    <w:rsid w:val="00A26BD6"/>
    <w:rsid w:val="00A443CF"/>
    <w:rsid w:val="00A6611D"/>
    <w:rsid w:val="00A82CB7"/>
    <w:rsid w:val="00A942C1"/>
    <w:rsid w:val="00AA2F03"/>
    <w:rsid w:val="00AC12F1"/>
    <w:rsid w:val="00AC36F7"/>
    <w:rsid w:val="00AC63A4"/>
    <w:rsid w:val="00AD239E"/>
    <w:rsid w:val="00B10265"/>
    <w:rsid w:val="00B16A99"/>
    <w:rsid w:val="00B21211"/>
    <w:rsid w:val="00B35784"/>
    <w:rsid w:val="00B733A7"/>
    <w:rsid w:val="00B75C91"/>
    <w:rsid w:val="00B975AD"/>
    <w:rsid w:val="00BC45FB"/>
    <w:rsid w:val="00BF148D"/>
    <w:rsid w:val="00C1644E"/>
    <w:rsid w:val="00C23B1A"/>
    <w:rsid w:val="00C310EB"/>
    <w:rsid w:val="00C9176A"/>
    <w:rsid w:val="00CF1AA2"/>
    <w:rsid w:val="00D17774"/>
    <w:rsid w:val="00D63620"/>
    <w:rsid w:val="00D8410D"/>
    <w:rsid w:val="00D867D7"/>
    <w:rsid w:val="00DB7060"/>
    <w:rsid w:val="00DE3153"/>
    <w:rsid w:val="00E06736"/>
    <w:rsid w:val="00E13C27"/>
    <w:rsid w:val="00E33BBD"/>
    <w:rsid w:val="00E374F2"/>
    <w:rsid w:val="00E45103"/>
    <w:rsid w:val="00E55A60"/>
    <w:rsid w:val="00E62778"/>
    <w:rsid w:val="00E63D38"/>
    <w:rsid w:val="00E665B9"/>
    <w:rsid w:val="00E960CF"/>
    <w:rsid w:val="00EA01E6"/>
    <w:rsid w:val="00EA3DE8"/>
    <w:rsid w:val="00EA758F"/>
    <w:rsid w:val="00ED4A6F"/>
    <w:rsid w:val="00EF3A3A"/>
    <w:rsid w:val="00F628D6"/>
    <w:rsid w:val="00F67051"/>
    <w:rsid w:val="00F86A1E"/>
    <w:rsid w:val="00F949A8"/>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2F1"/>
    <w:pPr>
      <w:widowControl w:val="0"/>
      <w:bidi/>
      <w:spacing w:after="160"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AC12F1"/>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AC12F1"/>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AC12F1"/>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AC12F1"/>
    <w:pPr>
      <w:numPr>
        <w:numId w:val="16"/>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AC12F1"/>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link w:val="Cover1-Reshumot0"/>
    <w:rsid w:val="00AC12F1"/>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AC12F1"/>
    <w:rPr>
      <w:sz w:val="36"/>
      <w:szCs w:val="52"/>
    </w:rPr>
  </w:style>
  <w:style w:type="paragraph" w:customStyle="1" w:styleId="Cover3-Haknesset">
    <w:name w:val="Cover 3-Haknesset"/>
    <w:basedOn w:val="Cover1-Reshumot"/>
    <w:rsid w:val="00AC12F1"/>
    <w:rPr>
      <w:b/>
      <w:bCs/>
      <w:spacing w:val="60"/>
    </w:rPr>
  </w:style>
  <w:style w:type="paragraph" w:customStyle="1" w:styleId="Cover4-Date">
    <w:name w:val="Cover 4-Date"/>
    <w:basedOn w:val="a"/>
    <w:rsid w:val="00AC12F1"/>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uiPriority w:val="99"/>
    <w:rsid w:val="00943386"/>
    <w:pPr>
      <w:tabs>
        <w:tab w:val="left" w:leader="dot" w:pos="8789"/>
      </w:tabs>
      <w:spacing w:before="120"/>
      <w:ind w:left="284" w:right="284"/>
    </w:pPr>
  </w:style>
  <w:style w:type="paragraph" w:customStyle="1" w:styleId="TOCpg">
    <w:name w:val="TOC pg"/>
    <w:basedOn w:val="TOC"/>
    <w:uiPriority w:val="99"/>
    <w:rsid w:val="00943386"/>
    <w:pPr>
      <w:spacing w:after="120"/>
      <w:ind w:right="567"/>
      <w:jc w:val="right"/>
    </w:pPr>
  </w:style>
  <w:style w:type="paragraph" w:customStyle="1" w:styleId="HeadMitparsemetBaze">
    <w:name w:val="Head MitparsemetBaze"/>
    <w:basedOn w:val="a"/>
    <w:rsid w:val="00AC12F1"/>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AC12F1"/>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AC12F1"/>
    <w:pPr>
      <w:spacing w:before="120" w:after="120"/>
    </w:pPr>
    <w:rPr>
      <w:color w:val="FF0000"/>
      <w:w w:val="80"/>
    </w:rPr>
  </w:style>
  <w:style w:type="paragraph" w:styleId="a3">
    <w:name w:val="endnote text"/>
    <w:basedOn w:val="a"/>
    <w:link w:val="a4"/>
    <w:semiHidden/>
    <w:rsid w:val="00AC12F1"/>
    <w:pPr>
      <w:ind w:left="227" w:hanging="227"/>
    </w:pPr>
    <w:rPr>
      <w:sz w:val="14"/>
      <w:szCs w:val="22"/>
    </w:rPr>
  </w:style>
  <w:style w:type="paragraph" w:customStyle="1" w:styleId="TableText">
    <w:name w:val="Table Text"/>
    <w:basedOn w:val="a"/>
    <w:rsid w:val="00AC12F1"/>
    <w:pPr>
      <w:keepLines/>
      <w:tabs>
        <w:tab w:val="left" w:pos="624"/>
        <w:tab w:val="left" w:pos="1247"/>
      </w:tabs>
      <w:snapToGrid w:val="0"/>
      <w:spacing w:after="0"/>
      <w:ind w:left="0"/>
      <w:jc w:val="left"/>
    </w:pPr>
    <w:rPr>
      <w:rFonts w:ascii="Arial" w:eastAsia="Arial Unicode MS" w:hAnsi="Arial"/>
      <w:snapToGrid w:val="0"/>
      <w:sz w:val="20"/>
      <w:szCs w:val="26"/>
    </w:rPr>
  </w:style>
  <w:style w:type="paragraph" w:customStyle="1" w:styleId="TableSideHeading">
    <w:name w:val="Table SideHeading"/>
    <w:basedOn w:val="TableText"/>
    <w:rsid w:val="00AC12F1"/>
    <w:pPr>
      <w:outlineLvl w:val="2"/>
    </w:pPr>
  </w:style>
  <w:style w:type="paragraph" w:customStyle="1" w:styleId="TableBlock">
    <w:name w:val="Table Block"/>
    <w:basedOn w:val="TableText"/>
    <w:rsid w:val="00AC12F1"/>
    <w:pPr>
      <w:jc w:val="both"/>
    </w:pPr>
  </w:style>
  <w:style w:type="paragraph" w:customStyle="1" w:styleId="TableHead">
    <w:name w:val="Table Head"/>
    <w:basedOn w:val="TableText"/>
    <w:rsid w:val="00AC12F1"/>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AC12F1"/>
    <w:pPr>
      <w:outlineLvl w:val="9"/>
    </w:pPr>
  </w:style>
  <w:style w:type="paragraph" w:customStyle="1" w:styleId="Hesber">
    <w:name w:val="Hesber"/>
    <w:basedOn w:val="a"/>
    <w:rsid w:val="00AC12F1"/>
    <w:pPr>
      <w:snapToGrid w:val="0"/>
    </w:pPr>
    <w:rPr>
      <w:rFonts w:ascii="Arial" w:eastAsia="Arial Unicode MS" w:hAnsi="Arial"/>
      <w:snapToGrid w:val="0"/>
      <w:sz w:val="20"/>
      <w:szCs w:val="26"/>
    </w:rPr>
  </w:style>
  <w:style w:type="paragraph" w:styleId="a5">
    <w:name w:val="footnote text"/>
    <w:basedOn w:val="a"/>
    <w:link w:val="a6"/>
    <w:autoRedefine/>
    <w:semiHidden/>
    <w:rsid w:val="00AC12F1"/>
    <w:pPr>
      <w:snapToGrid w:val="0"/>
      <w:spacing w:line="240" w:lineRule="auto"/>
      <w:ind w:left="227" w:hanging="227"/>
      <w:jc w:val="left"/>
    </w:pPr>
    <w:rPr>
      <w:rFonts w:ascii="Arial" w:eastAsia="Arial Unicode MS" w:hAnsi="Arial"/>
      <w:snapToGrid w:val="0"/>
      <w:sz w:val="14"/>
      <w:szCs w:val="20"/>
    </w:rPr>
  </w:style>
  <w:style w:type="character" w:styleId="a7">
    <w:name w:val="footnote reference"/>
    <w:aliases w:val="Footnote Reference"/>
    <w:basedOn w:val="a0"/>
    <w:semiHidden/>
    <w:rsid w:val="00AC12F1"/>
    <w:rPr>
      <w:vertAlign w:val="superscript"/>
    </w:rPr>
  </w:style>
  <w:style w:type="paragraph" w:customStyle="1" w:styleId="HesberHeading">
    <w:name w:val="Hesber Heading"/>
    <w:basedOn w:val="Hesber"/>
    <w:rsid w:val="00AC12F1"/>
    <w:pPr>
      <w:tabs>
        <w:tab w:val="left" w:pos="624"/>
        <w:tab w:val="left" w:pos="1247"/>
      </w:tabs>
    </w:pPr>
    <w:rPr>
      <w:b/>
      <w:bCs/>
    </w:rPr>
  </w:style>
  <w:style w:type="paragraph" w:customStyle="1" w:styleId="HesberWriters">
    <w:name w:val="Hesber Writers"/>
    <w:basedOn w:val="Hesber"/>
    <w:rsid w:val="00AC12F1"/>
    <w:pPr>
      <w:spacing w:before="120" w:after="6000"/>
      <w:ind w:left="1418"/>
      <w:jc w:val="right"/>
    </w:pPr>
    <w:rPr>
      <w:b/>
      <w:bCs/>
    </w:rPr>
  </w:style>
  <w:style w:type="paragraph" w:customStyle="1" w:styleId="Hesber1st">
    <w:name w:val="Hesber 1st"/>
    <w:basedOn w:val="Hesber"/>
    <w:rsid w:val="00AC12F1"/>
    <w:pPr>
      <w:tabs>
        <w:tab w:val="left" w:pos="680"/>
        <w:tab w:val="left" w:pos="1020"/>
      </w:tabs>
      <w:ind w:left="0"/>
    </w:pPr>
  </w:style>
  <w:style w:type="character" w:styleId="a8">
    <w:name w:val="endnote reference"/>
    <w:basedOn w:val="a0"/>
    <w:semiHidden/>
    <w:rsid w:val="00AC12F1"/>
    <w:rPr>
      <w:vertAlign w:val="superscript"/>
    </w:rPr>
  </w:style>
  <w:style w:type="paragraph" w:customStyle="1" w:styleId="TableBlockOutdent">
    <w:name w:val="Table BlockOutdent"/>
    <w:basedOn w:val="TableBlock"/>
    <w:rsid w:val="00AC12F1"/>
    <w:pPr>
      <w:ind w:left="624" w:hanging="624"/>
    </w:pPr>
  </w:style>
  <w:style w:type="paragraph" w:styleId="a9">
    <w:name w:val="header"/>
    <w:basedOn w:val="a"/>
    <w:link w:val="aa"/>
    <w:rsid w:val="00AC12F1"/>
    <w:pPr>
      <w:tabs>
        <w:tab w:val="center" w:pos="4153"/>
        <w:tab w:val="right" w:pos="8306"/>
      </w:tabs>
    </w:pPr>
  </w:style>
  <w:style w:type="paragraph" w:styleId="ab">
    <w:name w:val="footer"/>
    <w:basedOn w:val="a"/>
    <w:link w:val="ac"/>
    <w:rsid w:val="00AC12F1"/>
    <w:pPr>
      <w:tabs>
        <w:tab w:val="center" w:pos="4153"/>
        <w:tab w:val="right" w:pos="8306"/>
      </w:tabs>
    </w:pPr>
  </w:style>
  <w:style w:type="paragraph" w:customStyle="1" w:styleId="HeadDivreiHesber">
    <w:name w:val="Head DivreiHesber"/>
    <w:basedOn w:val="a"/>
    <w:link w:val="HeadDivreiHesber0"/>
    <w:rsid w:val="00AC12F1"/>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AC12F1"/>
    <w:pPr>
      <w:snapToGrid w:val="0"/>
      <w:jc w:val="left"/>
    </w:pPr>
    <w:rPr>
      <w:rFonts w:ascii="Arial" w:eastAsia="Arial Unicode MS" w:hAnsi="Arial"/>
      <w:snapToGrid w:val="0"/>
      <w:sz w:val="20"/>
      <w:szCs w:val="26"/>
    </w:rPr>
  </w:style>
  <w:style w:type="paragraph" w:styleId="ad">
    <w:name w:val="Title"/>
    <w:basedOn w:val="a"/>
    <w:qFormat/>
    <w:rsid w:val="00943386"/>
    <w:pPr>
      <w:jc w:val="center"/>
    </w:pPr>
    <w:rPr>
      <w:b/>
      <w:bCs/>
      <w:sz w:val="28"/>
      <w:szCs w:val="28"/>
      <w:u w:val="single"/>
    </w:rPr>
  </w:style>
  <w:style w:type="character" w:styleId="ae">
    <w:name w:val="page number"/>
    <w:basedOn w:val="a0"/>
    <w:rsid w:val="00AC12F1"/>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f">
    <w:name w:val="Balloon Text"/>
    <w:basedOn w:val="a"/>
    <w:link w:val="af0"/>
    <w:semiHidden/>
    <w:unhideWhenUsed/>
    <w:rsid w:val="00325C14"/>
    <w:pPr>
      <w:spacing w:line="240" w:lineRule="auto"/>
    </w:pPr>
    <w:rPr>
      <w:rFonts w:ascii="Tahoma" w:hAnsi="Tahoma" w:cs="Tahoma"/>
      <w:sz w:val="16"/>
      <w:szCs w:val="16"/>
    </w:rPr>
  </w:style>
  <w:style w:type="character" w:customStyle="1" w:styleId="af0">
    <w:name w:val="טקסט בלונים תו"/>
    <w:basedOn w:val="a0"/>
    <w:link w:val="af"/>
    <w:semiHidden/>
    <w:rsid w:val="00325C14"/>
    <w:rPr>
      <w:rFonts w:ascii="Tahoma" w:hAnsi="Tahoma" w:cs="Tahoma"/>
      <w:color w:val="000000"/>
      <w:spacing w:val="1"/>
      <w:sz w:val="16"/>
      <w:szCs w:val="16"/>
      <w:lang w:eastAsia="ja-JP"/>
    </w:rPr>
  </w:style>
  <w:style w:type="numbering" w:customStyle="1" w:styleId="11">
    <w:name w:val="ללא רשימה1"/>
    <w:next w:val="a2"/>
    <w:semiHidden/>
    <w:unhideWhenUsed/>
    <w:rsid w:val="00C1644E"/>
  </w:style>
  <w:style w:type="paragraph" w:customStyle="1" w:styleId="Table">
    <w:name w:val="Table"/>
    <w:basedOn w:val="a"/>
    <w:uiPriority w:val="99"/>
    <w:rsid w:val="00C1644E"/>
    <w:pPr>
      <w:suppressAutoHyphens/>
      <w:spacing w:line="180" w:lineRule="atLeast"/>
    </w:pPr>
    <w:rPr>
      <w:rFonts w:eastAsia="Times New Roman"/>
      <w:sz w:val="18"/>
      <w:szCs w:val="18"/>
    </w:rPr>
  </w:style>
  <w:style w:type="character" w:customStyle="1" w:styleId="Cover1-Reshumot0">
    <w:name w:val="Cover 1-Reshumot תו"/>
    <w:link w:val="Cover1-Reshumot"/>
    <w:rsid w:val="00C1644E"/>
    <w:rPr>
      <w:rFonts w:ascii="Arial" w:eastAsia="Arial Unicode MS" w:hAnsi="Arial" w:cs="David"/>
      <w:snapToGrid w:val="0"/>
      <w:szCs w:val="26"/>
    </w:rPr>
  </w:style>
  <w:style w:type="character" w:customStyle="1" w:styleId="HeadDivreiHesber0">
    <w:name w:val="Head DivreiHesber תו"/>
    <w:link w:val="HeadDivreiHesber"/>
    <w:rsid w:val="00C1644E"/>
    <w:rPr>
      <w:rFonts w:ascii="Arial" w:eastAsia="Arial Unicode MS" w:hAnsi="Arial" w:cs="David"/>
      <w:b/>
      <w:snapToGrid w:val="0"/>
      <w:spacing w:val="40"/>
      <w:szCs w:val="26"/>
    </w:rPr>
  </w:style>
  <w:style w:type="paragraph" w:styleId="af1">
    <w:name w:val="annotation text"/>
    <w:basedOn w:val="a"/>
    <w:link w:val="af2"/>
    <w:uiPriority w:val="99"/>
    <w:semiHidden/>
    <w:unhideWhenUsed/>
    <w:rsid w:val="00C1644E"/>
    <w:rPr>
      <w:position w:val="2"/>
      <w:sz w:val="16"/>
      <w:szCs w:val="16"/>
    </w:rPr>
  </w:style>
  <w:style w:type="character" w:customStyle="1" w:styleId="af2">
    <w:name w:val="טקסט הערה תו"/>
    <w:basedOn w:val="a0"/>
    <w:link w:val="af1"/>
    <w:uiPriority w:val="99"/>
    <w:semiHidden/>
    <w:rsid w:val="00C1644E"/>
    <w:rPr>
      <w:rFonts w:ascii="Hadasa Roso SL" w:hAnsi="Hadasa Roso SL" w:cs="Hadasa Roso SL"/>
      <w:color w:val="000000"/>
      <w:spacing w:val="1"/>
      <w:position w:val="2"/>
      <w:sz w:val="16"/>
      <w:szCs w:val="16"/>
      <w:lang w:eastAsia="ja-JP"/>
    </w:rPr>
  </w:style>
  <w:style w:type="character" w:customStyle="1" w:styleId="Bold4Hesber1">
    <w:name w:val="Bold4Hesber1"/>
    <w:uiPriority w:val="99"/>
    <w:rsid w:val="00C1644E"/>
    <w:rPr>
      <w:rFonts w:ascii="Hadasa Roso SL" w:hAnsi="Hadasa Roso SL" w:cs="Hadasa Roso SL"/>
      <w:b/>
      <w:bCs/>
      <w:lang w:bidi="he-IL"/>
    </w:rPr>
  </w:style>
  <w:style w:type="character" w:customStyle="1" w:styleId="a6">
    <w:name w:val="טקסט הערת שוליים תו"/>
    <w:basedOn w:val="a0"/>
    <w:link w:val="a5"/>
    <w:semiHidden/>
    <w:rsid w:val="00C1644E"/>
    <w:rPr>
      <w:rFonts w:ascii="Arial" w:eastAsia="Arial Unicode MS" w:hAnsi="Arial" w:cs="David"/>
      <w:snapToGrid w:val="0"/>
      <w:sz w:val="14"/>
    </w:rPr>
  </w:style>
  <w:style w:type="character" w:customStyle="1" w:styleId="a4">
    <w:name w:val="טקסט הערת סיום תו"/>
    <w:basedOn w:val="a0"/>
    <w:link w:val="a3"/>
    <w:semiHidden/>
    <w:rsid w:val="00C1644E"/>
    <w:rPr>
      <w:rFonts w:ascii="David" w:eastAsiaTheme="minorHAnsi" w:hAnsi="David" w:cs="David"/>
      <w:sz w:val="14"/>
      <w:szCs w:val="22"/>
    </w:rPr>
  </w:style>
  <w:style w:type="character" w:customStyle="1" w:styleId="aa">
    <w:name w:val="כותרת עליונה תו"/>
    <w:basedOn w:val="a0"/>
    <w:link w:val="a9"/>
    <w:rsid w:val="00C1644E"/>
    <w:rPr>
      <w:rFonts w:ascii="David" w:eastAsiaTheme="minorHAnsi" w:hAnsi="David" w:cs="David"/>
      <w:sz w:val="24"/>
      <w:szCs w:val="24"/>
    </w:rPr>
  </w:style>
  <w:style w:type="character" w:customStyle="1" w:styleId="ac">
    <w:name w:val="כותרת תחתונה תו"/>
    <w:basedOn w:val="a0"/>
    <w:link w:val="ab"/>
    <w:rsid w:val="00C1644E"/>
    <w:rPr>
      <w:rFonts w:ascii="David" w:eastAsiaTheme="minorHAnsi" w:hAnsi="David" w:cs="David"/>
      <w:sz w:val="24"/>
      <w:szCs w:val="24"/>
    </w:rPr>
  </w:style>
  <w:style w:type="character" w:customStyle="1" w:styleId="10">
    <w:name w:val="כותרת 1 תו"/>
    <w:basedOn w:val="a0"/>
    <w:link w:val="1"/>
    <w:uiPriority w:val="9"/>
    <w:rsid w:val="00AC12F1"/>
    <w:rPr>
      <w:rFonts w:asciiTheme="majorHAnsi" w:eastAsiaTheme="majorEastAsia" w:hAnsiTheme="majorHAnsi" w:cs="David"/>
      <w:bCs/>
      <w:sz w:val="32"/>
      <w:szCs w:val="36"/>
    </w:rPr>
  </w:style>
  <w:style w:type="character" w:customStyle="1" w:styleId="20">
    <w:name w:val="כותרת 2 תו"/>
    <w:basedOn w:val="a0"/>
    <w:link w:val="2"/>
    <w:rsid w:val="00AC12F1"/>
    <w:rPr>
      <w:rFonts w:asciiTheme="majorHAnsi" w:eastAsiaTheme="majorEastAsia" w:hAnsiTheme="majorHAnsi" w:cs="David"/>
      <w:bCs/>
      <w:sz w:val="26"/>
      <w:szCs w:val="36"/>
      <w:u w:val="single"/>
    </w:rPr>
  </w:style>
  <w:style w:type="character" w:customStyle="1" w:styleId="30">
    <w:name w:val="כותרת 3 תו"/>
    <w:basedOn w:val="a0"/>
    <w:link w:val="3"/>
    <w:rsid w:val="00AC12F1"/>
    <w:rPr>
      <w:rFonts w:asciiTheme="majorHAnsi" w:eastAsiaTheme="majorEastAsia" w:hAnsiTheme="majorHAnsi" w:cs="David"/>
      <w:sz w:val="24"/>
      <w:szCs w:val="28"/>
      <w:u w:val="double"/>
    </w:rPr>
  </w:style>
  <w:style w:type="character" w:customStyle="1" w:styleId="40">
    <w:name w:val="כותרת 4 תו"/>
    <w:basedOn w:val="a0"/>
    <w:link w:val="4"/>
    <w:uiPriority w:val="9"/>
    <w:rsid w:val="00AC12F1"/>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AC12F1"/>
    <w:rPr>
      <w:rFonts w:ascii="David" w:eastAsiaTheme="minorHAnsi" w:hAnsi="David" w:cs="David"/>
      <w:color w:val="000000" w:themeColor="text1"/>
      <w:sz w:val="24"/>
      <w:szCs w:val="24"/>
    </w:rPr>
  </w:style>
  <w:style w:type="paragraph" w:styleId="af3">
    <w:name w:val="TOC Heading"/>
    <w:basedOn w:val="1"/>
    <w:next w:val="a"/>
    <w:uiPriority w:val="39"/>
    <w:unhideWhenUsed/>
    <w:qFormat/>
    <w:rsid w:val="00AC12F1"/>
    <w:pPr>
      <w:widowControl/>
      <w:spacing w:before="120" w:after="120"/>
      <w:outlineLvl w:val="9"/>
    </w:pPr>
    <w:rPr>
      <w:rtl/>
      <w:cs/>
    </w:rPr>
  </w:style>
  <w:style w:type="paragraph" w:styleId="TOC1">
    <w:name w:val="toc 1"/>
    <w:basedOn w:val="a"/>
    <w:next w:val="a"/>
    <w:autoRedefine/>
    <w:uiPriority w:val="39"/>
    <w:unhideWhenUsed/>
    <w:rsid w:val="00AC12F1"/>
    <w:pPr>
      <w:tabs>
        <w:tab w:val="right" w:leader="dot" w:pos="9629"/>
      </w:tabs>
      <w:spacing w:after="100"/>
    </w:pPr>
    <w:rPr>
      <w:bCs/>
      <w:szCs w:val="22"/>
    </w:rPr>
  </w:style>
  <w:style w:type="paragraph" w:styleId="TOC2">
    <w:name w:val="toc 2"/>
    <w:basedOn w:val="a"/>
    <w:next w:val="a"/>
    <w:uiPriority w:val="39"/>
    <w:unhideWhenUsed/>
    <w:rsid w:val="00AC12F1"/>
    <w:pPr>
      <w:tabs>
        <w:tab w:val="right" w:leader="dot" w:pos="9628"/>
      </w:tabs>
      <w:spacing w:after="100"/>
    </w:pPr>
    <w:rPr>
      <w:szCs w:val="22"/>
    </w:rPr>
  </w:style>
  <w:style w:type="character" w:styleId="Hyperlink">
    <w:name w:val="Hyperlink"/>
    <w:basedOn w:val="a0"/>
    <w:uiPriority w:val="99"/>
    <w:unhideWhenUsed/>
    <w:rsid w:val="00AC12F1"/>
    <w:rPr>
      <w:color w:val="0000FF" w:themeColor="hyperlink"/>
      <w:u w:val="single"/>
    </w:rPr>
  </w:style>
  <w:style w:type="paragraph" w:styleId="TOC3">
    <w:name w:val="toc 3"/>
    <w:basedOn w:val="a"/>
    <w:next w:val="a"/>
    <w:uiPriority w:val="39"/>
    <w:unhideWhenUsed/>
    <w:rsid w:val="00AC12F1"/>
    <w:pPr>
      <w:tabs>
        <w:tab w:val="right" w:leader="dot" w:pos="9629"/>
      </w:tabs>
      <w:spacing w:after="100"/>
      <w:ind w:left="567"/>
    </w:pPr>
    <w:rPr>
      <w:szCs w:val="22"/>
    </w:rPr>
  </w:style>
  <w:style w:type="paragraph" w:styleId="TOC4">
    <w:name w:val="toc 4"/>
    <w:basedOn w:val="a"/>
    <w:next w:val="a"/>
    <w:autoRedefine/>
    <w:unhideWhenUsed/>
    <w:qFormat/>
    <w:rsid w:val="00AC12F1"/>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AC12F1"/>
    <w:pPr>
      <w:tabs>
        <w:tab w:val="right" w:leader="dot" w:pos="9628"/>
      </w:tabs>
      <w:spacing w:after="100"/>
      <w:ind w:left="567"/>
    </w:pPr>
    <w:rPr>
      <w:szCs w:val="22"/>
    </w:rPr>
  </w:style>
  <w:style w:type="paragraph" w:styleId="TOC6">
    <w:name w:val="toc 6"/>
    <w:basedOn w:val="a"/>
    <w:next w:val="a"/>
    <w:autoRedefine/>
    <w:semiHidden/>
    <w:unhideWhenUsed/>
    <w:rsid w:val="00AC12F1"/>
    <w:pPr>
      <w:spacing w:after="100"/>
      <w:ind w:left="850"/>
    </w:pPr>
  </w:style>
  <w:style w:type="paragraph" w:styleId="TOC7">
    <w:name w:val="toc 7"/>
    <w:basedOn w:val="a"/>
    <w:next w:val="a"/>
    <w:autoRedefine/>
    <w:semiHidden/>
    <w:unhideWhenUsed/>
    <w:rsid w:val="00AC12F1"/>
    <w:pPr>
      <w:spacing w:after="100"/>
      <w:ind w:left="1020"/>
    </w:pPr>
  </w:style>
  <w:style w:type="paragraph" w:styleId="TOC8">
    <w:name w:val="toc 8"/>
    <w:basedOn w:val="a"/>
    <w:next w:val="a"/>
    <w:autoRedefine/>
    <w:semiHidden/>
    <w:unhideWhenUsed/>
    <w:rsid w:val="00AC12F1"/>
    <w:pPr>
      <w:spacing w:after="100"/>
      <w:ind w:left="1190"/>
    </w:pPr>
  </w:style>
  <w:style w:type="paragraph" w:styleId="TOC9">
    <w:name w:val="toc 9"/>
    <w:basedOn w:val="a"/>
    <w:next w:val="a"/>
    <w:autoRedefine/>
    <w:semiHidden/>
    <w:unhideWhenUsed/>
    <w:rsid w:val="00AC12F1"/>
    <w:pPr>
      <w:spacing w:after="100"/>
      <w:ind w:left="1360"/>
    </w:pPr>
  </w:style>
  <w:style w:type="paragraph" w:customStyle="1" w:styleId="TableHead2">
    <w:name w:val="Table Head2"/>
    <w:basedOn w:val="TableHead"/>
    <w:qFormat/>
    <w:rsid w:val="00AC12F1"/>
    <w:pPr>
      <w:outlineLvl w:val="9"/>
    </w:pPr>
  </w:style>
  <w:style w:type="paragraph" w:customStyle="1" w:styleId="TableSideHeading2">
    <w:name w:val="Table SideHeading2"/>
    <w:basedOn w:val="TableSideHeading"/>
    <w:autoRedefine/>
    <w:qFormat/>
    <w:rsid w:val="00AC12F1"/>
    <w:pPr>
      <w:keepLines w:val="0"/>
      <w:outlineLvl w:val="9"/>
    </w:pPr>
  </w:style>
  <w:style w:type="paragraph" w:customStyle="1" w:styleId="0">
    <w:name w:val="סגנון שורה ראשונה:  0  ס''מ"/>
    <w:basedOn w:val="2"/>
    <w:rsid w:val="00AC12F1"/>
    <w:rPr>
      <w:rFonts w:eastAsia="Times New Roman"/>
    </w:rPr>
  </w:style>
  <w:style w:type="paragraph" w:styleId="af4">
    <w:name w:val="List Paragraph"/>
    <w:basedOn w:val="a"/>
    <w:uiPriority w:val="34"/>
    <w:qFormat/>
    <w:rsid w:val="00AC12F1"/>
    <w:pPr>
      <w:widowControl/>
      <w:spacing w:line="259" w:lineRule="auto"/>
    </w:pPr>
    <w:rPr>
      <w:rFonts w:asciiTheme="minorHAnsi" w:hAnsiTheme="minorHAnsi"/>
      <w:sz w:val="22"/>
    </w:rPr>
  </w:style>
  <w:style w:type="table" w:styleId="af5">
    <w:name w:val="Table Grid"/>
    <w:basedOn w:val="a1"/>
    <w:rsid w:val="00AC1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Plain Table 1"/>
    <w:basedOn w:val="a1"/>
    <w:uiPriority w:val="41"/>
    <w:rsid w:val="00AC12F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3">
    <w:name w:val="Grid Table 1 Light"/>
    <w:basedOn w:val="a1"/>
    <w:uiPriority w:val="46"/>
    <w:rsid w:val="00AC12F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6">
    <w:name w:val="טבלת חקיקה"/>
    <w:basedOn w:val="a1"/>
    <w:uiPriority w:val="99"/>
    <w:rsid w:val="00AC12F1"/>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4">
    <w:name w:val="סגנון1"/>
    <w:basedOn w:val="a1"/>
    <w:uiPriority w:val="99"/>
    <w:rsid w:val="00AC12F1"/>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664598">
      <w:bodyDiv w:val="1"/>
      <w:marLeft w:val="0"/>
      <w:marRight w:val="0"/>
      <w:marTop w:val="0"/>
      <w:marBottom w:val="0"/>
      <w:divBdr>
        <w:top w:val="none" w:sz="0" w:space="0" w:color="auto"/>
        <w:left w:val="none" w:sz="0" w:space="0" w:color="auto"/>
        <w:bottom w:val="none" w:sz="0" w:space="0" w:color="auto"/>
        <w:right w:val="none" w:sz="0" w:space="0" w:color="auto"/>
      </w:divBdr>
      <w:divsChild>
        <w:div w:id="1534415449">
          <w:marLeft w:val="0"/>
          <w:marRight w:val="0"/>
          <w:marTop w:val="0"/>
          <w:marBottom w:val="0"/>
          <w:divBdr>
            <w:top w:val="none" w:sz="0" w:space="0" w:color="auto"/>
            <w:left w:val="none" w:sz="0" w:space="0" w:color="auto"/>
            <w:bottom w:val="none" w:sz="0" w:space="0" w:color="auto"/>
            <w:right w:val="none" w:sz="0" w:space="0" w:color="auto"/>
          </w:divBdr>
          <w:divsChild>
            <w:div w:id="151022078">
              <w:marLeft w:val="0"/>
              <w:marRight w:val="0"/>
              <w:marTop w:val="0"/>
              <w:marBottom w:val="0"/>
              <w:divBdr>
                <w:top w:val="none" w:sz="0" w:space="0" w:color="auto"/>
                <w:left w:val="none" w:sz="0" w:space="0" w:color="auto"/>
                <w:bottom w:val="none" w:sz="0" w:space="0" w:color="auto"/>
                <w:right w:val="none" w:sz="0" w:space="0" w:color="auto"/>
              </w:divBdr>
              <w:divsChild>
                <w:div w:id="4587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vo.co.il/law/4681/c1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20B3B988-97FC-413A-972F-A488B2ADD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4AFE3-9455-419C-8851-785A55F4451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5693040-B17F-4281-8BB6-C721F9B9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1430</Words>
  <Characters>7133</Characters>
  <Application>Microsoft Office Word</Application>
  <DocSecurity>0</DocSecurity>
  <Lines>356</Lines>
  <Paragraphs>259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8</cp:revision>
  <cp:lastPrinted>2018-02-26T07:05:00Z</cp:lastPrinted>
  <dcterms:created xsi:type="dcterms:W3CDTF">2015-04-20T09:58:00Z</dcterms:created>
  <dcterms:modified xsi:type="dcterms:W3CDTF">2018-02-26T07:05:00Z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2065843</vt:r8>
  </property>
</Properties>
</file>