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2064495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6" w14:textId="77777777" w:rsidR="00E13C27" w:rsidRDefault="008F6665" w:rsidP="00930EFE">
      <w:pPr>
        <w:pStyle w:val="David"/>
        <w:spacing w:line="360" w:lineRule="auto"/>
        <w:ind w:left="3544"/>
        <w:rPr>
          <w:b/>
          <w:bCs/>
          <w:rtl/>
        </w:rPr>
      </w:pPr>
      <w:bookmarkStart w:id="2" w:name="LGS_Initiators_List"/>
      <w:r>
        <w:rPr>
          <w:b/>
          <w:bCs/>
          <w:rtl/>
        </w:rPr>
        <w:t>יוזמת:</w:t>
      </w:r>
      <w:r>
        <w:tab/>
      </w:r>
      <w:r>
        <w:rPr>
          <w:b/>
          <w:bCs/>
          <w:rtl/>
        </w:rPr>
        <w:t xml:space="preserve">      חברת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שרן השכל</w:t>
      </w:r>
      <w:bookmarkEnd w:id="3"/>
    </w:p>
    <w:p w14:paraId="7F6961AA" w14:textId="39F9D96B" w:rsidR="00E13C27" w:rsidRPr="00CF1AA2" w:rsidRDefault="007D585A" w:rsidP="0036422C">
      <w:pPr>
        <w:pStyle w:val="David"/>
        <w:spacing w:before="0" w:line="360" w:lineRule="auto"/>
        <w:ind w:left="3544"/>
        <w:rPr>
          <w:b/>
          <w:bCs/>
          <w:sz w:val="16"/>
          <w:szCs w:val="16"/>
          <w:rtl/>
        </w:rPr>
      </w:pPr>
      <w:bookmarkStart w:id="4" w:name="LGS_Join_List"/>
      <w:r>
        <w:rPr>
          <w:rtl/>
        </w:rPr>
        <w:t xml:space="preserve"> </w:t>
      </w:r>
      <w:bookmarkEnd w:id="4"/>
      <w:r w:rsidR="002200A1" w:rsidRPr="00CF1AA2">
        <w:rPr>
          <w:rFonts w:hint="cs"/>
          <w:rtl/>
        </w:rPr>
        <w:tab/>
      </w:r>
      <w:bookmarkStart w:id="5" w:name="LGS_PM_NamesJoin"/>
      <w:r>
        <w:rPr>
          <w:rFonts w:hint="cs"/>
          <w:rtl/>
        </w:rPr>
        <w:t xml:space="preserve"> </w:t>
      </w:r>
      <w:bookmarkEnd w:id="5"/>
    </w:p>
    <w:p w14:paraId="34DB4103" w14:textId="77777777" w:rsidR="00904591" w:rsidRPr="00904591" w:rsidRDefault="00266D86" w:rsidP="0036422C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B" w14:textId="256138AA" w:rsidR="00E13C27" w:rsidRPr="00E06736" w:rsidRDefault="00904591" w:rsidP="00904591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id="6" w:name="Private_Number"/>
      <w:r>
        <w:rPr>
          <w:rFonts w:hint="cs"/>
          <w:rtl/>
        </w:rPr>
        <w:t>פ/5129/20</w:t>
      </w:r>
      <w:bookmarkEnd w:id="6"/>
    </w:p>
    <w:p w14:paraId="7F6961AC" w14:textId="77777777" w:rsidR="00E13C27" w:rsidRDefault="00E13C27" w:rsidP="00E13C27">
      <w:pPr>
        <w:spacing w:before="0" w:line="360" w:lineRule="auto"/>
        <w:ind w:left="2880" w:firstLine="720"/>
        <w:rPr>
          <w:rFonts w:cs="David"/>
          <w:sz w:val="26"/>
          <w:szCs w:val="26"/>
          <w:rtl/>
        </w:rPr>
      </w:pPr>
    </w:p>
    <w:p w14:paraId="7F6961AD" w14:textId="019C9398" w:rsidR="00E13C27" w:rsidRPr="00F67051" w:rsidRDefault="00A443CF" w:rsidP="00514D6A">
      <w:pPr>
        <w:pStyle w:val="HeadHatzaotHok"/>
        <w:rPr>
          <w:rtl/>
        </w:rPr>
      </w:pPr>
      <w:bookmarkStart w:id="7" w:name="LGS_Subject"/>
      <w:r>
        <w:rPr>
          <w:rFonts w:hint="cs"/>
          <w:rtl/>
        </w:rPr>
        <w:t>הצעת חוק החלת החוק הישראלי בשטח בקעת הירדן באמצעות משאל עם, התשע"ח–2018</w:t>
      </w:r>
      <w:bookmarkEnd w:id="7"/>
    </w:p>
    <w:p w14:paraId="7F6961AE" w14:textId="77777777" w:rsidR="00E13C27" w:rsidRDefault="00E13C27" w:rsidP="0021633A">
      <w:pPr>
        <w:pStyle w:val="HeadDivreiHesber"/>
        <w:spacing w:before="0" w:after="0"/>
        <w:rPr>
          <w:rtl/>
        </w:rPr>
      </w:pPr>
    </w:p>
    <w:tbl>
      <w:tblPr>
        <w:bidiVisual/>
        <w:tblW w:w="9637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624"/>
        <w:gridCol w:w="624"/>
        <w:gridCol w:w="6519"/>
      </w:tblGrid>
      <w:tr w:rsidR="002F1D80" w14:paraId="035EEF3D" w14:textId="77777777" w:rsidTr="0006083F">
        <w:trPr>
          <w:cantSplit/>
        </w:trPr>
        <w:tc>
          <w:tcPr>
            <w:tcW w:w="1870" w:type="dxa"/>
          </w:tcPr>
          <w:p w14:paraId="3863FF98" w14:textId="21B06DE8" w:rsidR="002F1D80" w:rsidRDefault="00936612" w:rsidP="002C3041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משאל עם</w:t>
            </w:r>
          </w:p>
        </w:tc>
        <w:tc>
          <w:tcPr>
            <w:tcW w:w="624" w:type="dxa"/>
          </w:tcPr>
          <w:p w14:paraId="6F513EF6" w14:textId="2F323D71" w:rsidR="002F1D80" w:rsidRDefault="008A2645" w:rsidP="002C3041">
            <w:pPr>
              <w:pStyle w:val="TableText"/>
              <w:keepLines w:val="0"/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7143" w:type="dxa"/>
            <w:gridSpan w:val="2"/>
          </w:tcPr>
          <w:p w14:paraId="1AE94DEB" w14:textId="12A5B28E" w:rsidR="002F1D80" w:rsidRPr="00936612" w:rsidRDefault="0066652A" w:rsidP="0006083F">
            <w:pPr>
              <w:pStyle w:val="TableBlock"/>
            </w:pPr>
            <w:r>
              <w:rPr>
                <w:rFonts w:hint="cs"/>
                <w:rtl/>
              </w:rPr>
              <w:t>(א)</w:t>
            </w:r>
            <w:r>
              <w:rPr>
                <w:rtl/>
              </w:rPr>
              <w:tab/>
            </w:r>
            <w:r w:rsidRPr="0066652A">
              <w:rPr>
                <w:rFonts w:hint="cs"/>
                <w:rtl/>
              </w:rPr>
              <w:t>בתוך שישה חודשים מיום תחילתו של חוק זה</w:t>
            </w:r>
            <w:r>
              <w:rPr>
                <w:rFonts w:hint="cs"/>
                <w:rtl/>
              </w:rPr>
              <w:t xml:space="preserve"> יתקיים משאל עם בדבר החלת </w:t>
            </w:r>
            <w:r w:rsidRPr="00F4639E">
              <w:rPr>
                <w:rtl/>
              </w:rPr>
              <w:t>המשפט, השיפוט והמ</w:t>
            </w:r>
            <w:r w:rsidRPr="00F4639E">
              <w:rPr>
                <w:rFonts w:hint="cs"/>
                <w:rtl/>
              </w:rPr>
              <w:t>י</w:t>
            </w:r>
            <w:r w:rsidRPr="00F4639E">
              <w:rPr>
                <w:rtl/>
              </w:rPr>
              <w:t xml:space="preserve">נהל של </w:t>
            </w:r>
            <w:r w:rsidRPr="00936612">
              <w:rPr>
                <w:rtl/>
              </w:rPr>
              <w:t>מדינ</w:t>
            </w:r>
            <w:r w:rsidRPr="00936612">
              <w:rPr>
                <w:rFonts w:hint="cs"/>
                <w:rtl/>
              </w:rPr>
              <w:t>ת ישראל</w:t>
            </w:r>
            <w:r w:rsidRPr="00936612">
              <w:rPr>
                <w:rtl/>
              </w:rPr>
              <w:t xml:space="preserve"> בשטח </w:t>
            </w:r>
            <w:r w:rsidRPr="00936612">
              <w:rPr>
                <w:rFonts w:hint="cs"/>
                <w:rtl/>
              </w:rPr>
              <w:t>בקעת הירדן</w:t>
            </w:r>
            <w:r w:rsidRPr="00936612">
              <w:rPr>
                <w:rtl/>
              </w:rPr>
              <w:t xml:space="preserve"> כמתואר בתוספת</w:t>
            </w:r>
            <w:r>
              <w:rPr>
                <w:rFonts w:hint="cs"/>
                <w:rtl/>
              </w:rPr>
              <w:t xml:space="preserve"> (להלן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שטח בקעת הירדן).</w:t>
            </w:r>
          </w:p>
        </w:tc>
      </w:tr>
      <w:tr w:rsidR="00936612" w14:paraId="311EBDB0" w14:textId="77777777" w:rsidTr="0006083F">
        <w:trPr>
          <w:cantSplit/>
        </w:trPr>
        <w:tc>
          <w:tcPr>
            <w:tcW w:w="1870" w:type="dxa"/>
          </w:tcPr>
          <w:p w14:paraId="35957188" w14:textId="77777777" w:rsidR="00936612" w:rsidRDefault="00936612" w:rsidP="002C3041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41314D7E" w14:textId="77777777" w:rsidR="00936612" w:rsidRDefault="00936612" w:rsidP="002B2691">
            <w:pPr>
              <w:pStyle w:val="TableText"/>
              <w:rPr>
                <w:rtl/>
              </w:rPr>
            </w:pPr>
          </w:p>
        </w:tc>
        <w:tc>
          <w:tcPr>
            <w:tcW w:w="7143" w:type="dxa"/>
            <w:gridSpan w:val="2"/>
          </w:tcPr>
          <w:p w14:paraId="1B76A182" w14:textId="69887C2A" w:rsidR="00936612" w:rsidRDefault="001B5462" w:rsidP="004A2DAF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(ב)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במשאל העם </w:t>
            </w:r>
            <w:r w:rsidR="004A2DAF">
              <w:rPr>
                <w:rFonts w:hint="cs"/>
                <w:rtl/>
              </w:rPr>
              <w:t>רשאים להשתתף</w:t>
            </w:r>
            <w:r>
              <w:rPr>
                <w:rFonts w:hint="cs"/>
                <w:rtl/>
              </w:rPr>
              <w:t xml:space="preserve"> כל תושבי בקעת הירדן שיום הולדתם </w:t>
            </w:r>
            <w:r w:rsidR="004A2DAF">
              <w:rPr>
                <w:rtl/>
              </w:rPr>
              <w:br/>
            </w:r>
            <w:r>
              <w:rPr>
                <w:rFonts w:hint="cs"/>
                <w:rtl/>
              </w:rPr>
              <w:t>ה-18 חל לא יאוחר מיום עריכת משאל העם, בין אם הם אזרחי מדינת ישראל ובין אם לאו.</w:t>
            </w:r>
          </w:p>
        </w:tc>
      </w:tr>
      <w:tr w:rsidR="007742B2" w14:paraId="6E8A8223" w14:textId="77777777" w:rsidTr="0006083F">
        <w:trPr>
          <w:cantSplit/>
        </w:trPr>
        <w:tc>
          <w:tcPr>
            <w:tcW w:w="1870" w:type="dxa"/>
          </w:tcPr>
          <w:p w14:paraId="2489E905" w14:textId="77777777" w:rsidR="007742B2" w:rsidRDefault="007742B2" w:rsidP="002C3041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59BD3AFC" w14:textId="77777777" w:rsidR="007742B2" w:rsidRDefault="007742B2" w:rsidP="007742B2">
            <w:pPr>
              <w:pStyle w:val="TableText"/>
              <w:rPr>
                <w:rtl/>
              </w:rPr>
            </w:pPr>
          </w:p>
        </w:tc>
        <w:tc>
          <w:tcPr>
            <w:tcW w:w="7143" w:type="dxa"/>
            <w:gridSpan w:val="2"/>
          </w:tcPr>
          <w:p w14:paraId="4B8CAB0A" w14:textId="44651E4D" w:rsidR="007742B2" w:rsidRDefault="00D27F0F" w:rsidP="0006083F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(ג)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השאלות שיוצגו </w:t>
            </w:r>
            <w:r w:rsidR="00EB13D4">
              <w:rPr>
                <w:rFonts w:hint="cs"/>
                <w:rtl/>
              </w:rPr>
              <w:t>למשתתף</w:t>
            </w:r>
            <w:r>
              <w:rPr>
                <w:rFonts w:hint="cs"/>
                <w:rtl/>
              </w:rPr>
              <w:t xml:space="preserve"> במשאל העם יהיו:</w:t>
            </w:r>
          </w:p>
        </w:tc>
      </w:tr>
      <w:tr w:rsidR="00D27F0F" w14:paraId="17F59369" w14:textId="77777777" w:rsidTr="0006083F">
        <w:trPr>
          <w:cantSplit/>
        </w:trPr>
        <w:tc>
          <w:tcPr>
            <w:tcW w:w="1870" w:type="dxa"/>
          </w:tcPr>
          <w:p w14:paraId="41A956DF" w14:textId="77777777" w:rsidR="00D27F0F" w:rsidRDefault="00D27F0F">
            <w:pPr>
              <w:pStyle w:val="TableSideHeading"/>
            </w:pPr>
          </w:p>
        </w:tc>
        <w:tc>
          <w:tcPr>
            <w:tcW w:w="624" w:type="dxa"/>
          </w:tcPr>
          <w:p w14:paraId="18768C4B" w14:textId="77777777" w:rsidR="00D27F0F" w:rsidRDefault="00D27F0F">
            <w:pPr>
              <w:pStyle w:val="TableText"/>
            </w:pPr>
          </w:p>
        </w:tc>
        <w:tc>
          <w:tcPr>
            <w:tcW w:w="624" w:type="dxa"/>
          </w:tcPr>
          <w:p w14:paraId="16F0E693" w14:textId="77777777" w:rsidR="00D27F0F" w:rsidRDefault="00D27F0F">
            <w:pPr>
              <w:pStyle w:val="TableText"/>
            </w:pPr>
          </w:p>
        </w:tc>
        <w:tc>
          <w:tcPr>
            <w:tcW w:w="6519" w:type="dxa"/>
          </w:tcPr>
          <w:p w14:paraId="32CA5A43" w14:textId="318B3B33" w:rsidR="00D27F0F" w:rsidRDefault="00D27F0F" w:rsidP="0006083F">
            <w:pPr>
              <w:pStyle w:val="TableBlock"/>
            </w:pPr>
            <w:r>
              <w:rPr>
                <w:rFonts w:hint="cs"/>
                <w:rtl/>
              </w:rPr>
              <w:t>(1)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"האם את/ה מעוניין</w:t>
            </w:r>
            <w:r w:rsidR="0066652A">
              <w:rPr>
                <w:rFonts w:hint="cs"/>
                <w:rtl/>
              </w:rPr>
              <w:t>/ת</w:t>
            </w:r>
            <w:r>
              <w:rPr>
                <w:rFonts w:hint="cs"/>
                <w:rtl/>
              </w:rPr>
              <w:t xml:space="preserve"> בהחלת </w:t>
            </w:r>
            <w:r w:rsidRPr="00F4639E">
              <w:rPr>
                <w:rtl/>
              </w:rPr>
              <w:t>המשפט, השיפוט והמ</w:t>
            </w:r>
            <w:r w:rsidRPr="00F4639E">
              <w:rPr>
                <w:rFonts w:hint="cs"/>
                <w:rtl/>
              </w:rPr>
              <w:t>י</w:t>
            </w:r>
            <w:r w:rsidRPr="00F4639E">
              <w:rPr>
                <w:rtl/>
              </w:rPr>
              <w:t xml:space="preserve">נהל של </w:t>
            </w:r>
            <w:r w:rsidRPr="00936612">
              <w:rPr>
                <w:rtl/>
              </w:rPr>
              <w:t>מדינ</w:t>
            </w:r>
            <w:r w:rsidRPr="00936612">
              <w:rPr>
                <w:rFonts w:hint="cs"/>
                <w:rtl/>
              </w:rPr>
              <w:t>ת ישראל</w:t>
            </w:r>
            <w:r w:rsidRPr="00936612">
              <w:rPr>
                <w:rtl/>
              </w:rPr>
              <w:t xml:space="preserve"> בשטח </w:t>
            </w:r>
            <w:r w:rsidRPr="00936612">
              <w:rPr>
                <w:rFonts w:hint="cs"/>
                <w:rtl/>
              </w:rPr>
              <w:t>בקעת הירדן</w:t>
            </w:r>
            <w:r>
              <w:rPr>
                <w:rFonts w:hint="cs"/>
                <w:rtl/>
              </w:rPr>
              <w:t>?";</w:t>
            </w:r>
          </w:p>
        </w:tc>
      </w:tr>
      <w:tr w:rsidR="00D27F0F" w14:paraId="4A3085CE" w14:textId="77777777" w:rsidTr="0006083F">
        <w:trPr>
          <w:cantSplit/>
        </w:trPr>
        <w:tc>
          <w:tcPr>
            <w:tcW w:w="1870" w:type="dxa"/>
          </w:tcPr>
          <w:p w14:paraId="6665B5CF" w14:textId="77777777" w:rsidR="00D27F0F" w:rsidRDefault="00D27F0F">
            <w:pPr>
              <w:pStyle w:val="TableSideHeading"/>
            </w:pPr>
          </w:p>
        </w:tc>
        <w:tc>
          <w:tcPr>
            <w:tcW w:w="624" w:type="dxa"/>
          </w:tcPr>
          <w:p w14:paraId="66FCBB63" w14:textId="77777777" w:rsidR="00D27F0F" w:rsidRDefault="00D27F0F" w:rsidP="00D27F0F">
            <w:pPr>
              <w:pStyle w:val="TableText"/>
            </w:pPr>
          </w:p>
        </w:tc>
        <w:tc>
          <w:tcPr>
            <w:tcW w:w="624" w:type="dxa"/>
          </w:tcPr>
          <w:p w14:paraId="08ADA21B" w14:textId="77777777" w:rsidR="00D27F0F" w:rsidRDefault="00D27F0F">
            <w:pPr>
              <w:pStyle w:val="TableText"/>
            </w:pPr>
          </w:p>
        </w:tc>
        <w:tc>
          <w:tcPr>
            <w:tcW w:w="6519" w:type="dxa"/>
          </w:tcPr>
          <w:p w14:paraId="083090D2" w14:textId="3C9808AF" w:rsidR="00D27F0F" w:rsidRDefault="00D27F0F" w:rsidP="0006083F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(2)</w:t>
            </w:r>
            <w:r>
              <w:rPr>
                <w:rtl/>
              </w:rPr>
              <w:tab/>
            </w:r>
            <w:r w:rsidR="00EB13D4">
              <w:rPr>
                <w:rFonts w:hint="cs"/>
                <w:rtl/>
              </w:rPr>
              <w:t>"</w:t>
            </w:r>
            <w:r>
              <w:rPr>
                <w:rFonts w:hint="cs"/>
                <w:rtl/>
              </w:rPr>
              <w:t>האם את/ה מעוניין</w:t>
            </w:r>
            <w:r w:rsidR="0066652A">
              <w:rPr>
                <w:rFonts w:hint="cs"/>
                <w:rtl/>
              </w:rPr>
              <w:t>/ת</w:t>
            </w:r>
            <w:r>
              <w:rPr>
                <w:rFonts w:hint="cs"/>
                <w:rtl/>
              </w:rPr>
              <w:t xml:space="preserve"> להיות אזרח</w:t>
            </w:r>
            <w:r w:rsidR="0066652A">
              <w:rPr>
                <w:rFonts w:hint="cs"/>
                <w:rtl/>
              </w:rPr>
              <w:t>/</w:t>
            </w:r>
            <w:proofErr w:type="spellStart"/>
            <w:r w:rsidR="0066652A">
              <w:rPr>
                <w:rFonts w:hint="cs"/>
                <w:rtl/>
              </w:rPr>
              <w:t>ית</w:t>
            </w:r>
            <w:proofErr w:type="spellEnd"/>
            <w:r>
              <w:rPr>
                <w:rFonts w:hint="cs"/>
                <w:rtl/>
              </w:rPr>
              <w:t xml:space="preserve"> מדינת ישראל?".</w:t>
            </w:r>
          </w:p>
        </w:tc>
      </w:tr>
      <w:tr w:rsidR="007742B2" w14:paraId="187F0653" w14:textId="77777777" w:rsidTr="0006083F">
        <w:trPr>
          <w:cantSplit/>
        </w:trPr>
        <w:tc>
          <w:tcPr>
            <w:tcW w:w="1870" w:type="dxa"/>
          </w:tcPr>
          <w:p w14:paraId="3B03713A" w14:textId="77777777" w:rsidR="007742B2" w:rsidRDefault="007742B2" w:rsidP="002C3041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0E1BA3E7" w14:textId="77777777" w:rsidR="007742B2" w:rsidRDefault="007742B2" w:rsidP="007742B2">
            <w:pPr>
              <w:pStyle w:val="TableText"/>
              <w:rPr>
                <w:rtl/>
              </w:rPr>
            </w:pPr>
          </w:p>
        </w:tc>
        <w:tc>
          <w:tcPr>
            <w:tcW w:w="7143" w:type="dxa"/>
            <w:gridSpan w:val="2"/>
          </w:tcPr>
          <w:p w14:paraId="556B82A0" w14:textId="2D77F314" w:rsidR="007742B2" w:rsidRDefault="00D27F0F" w:rsidP="0006083F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(ד)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פתקי ההצבעה במשאל העם יישאו את המילים "כן" או "לא".</w:t>
            </w:r>
          </w:p>
        </w:tc>
      </w:tr>
      <w:tr w:rsidR="008A1AC3" w14:paraId="46AE79F3" w14:textId="77777777" w:rsidTr="0006083F">
        <w:trPr>
          <w:cantSplit/>
        </w:trPr>
        <w:tc>
          <w:tcPr>
            <w:tcW w:w="1870" w:type="dxa"/>
          </w:tcPr>
          <w:p w14:paraId="768DC4C5" w14:textId="66382B21" w:rsidR="008A1AC3" w:rsidRDefault="00936612" w:rsidP="004A2DAF">
            <w:pPr>
              <w:pStyle w:val="TableSideHeading"/>
              <w:keepLines w:val="0"/>
              <w:rPr>
                <w:rtl/>
              </w:rPr>
            </w:pPr>
            <w:r>
              <w:rPr>
                <w:rFonts w:hint="cs"/>
                <w:rtl/>
              </w:rPr>
              <w:t xml:space="preserve">החלת </w:t>
            </w:r>
            <w:r w:rsidR="004A2DAF">
              <w:rPr>
                <w:rFonts w:hint="cs"/>
                <w:rtl/>
              </w:rPr>
              <w:t>החוק הישראלי בשטח בקעת הירדן</w:t>
            </w:r>
          </w:p>
        </w:tc>
        <w:tc>
          <w:tcPr>
            <w:tcW w:w="624" w:type="dxa"/>
          </w:tcPr>
          <w:p w14:paraId="37C2A204" w14:textId="1FC05608" w:rsidR="008A1AC3" w:rsidRDefault="008A1AC3" w:rsidP="002B2691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7143" w:type="dxa"/>
            <w:gridSpan w:val="2"/>
          </w:tcPr>
          <w:p w14:paraId="40CE5562" w14:textId="13DB8FEB" w:rsidR="008A1AC3" w:rsidRPr="008A1AC3" w:rsidRDefault="00EB13D4" w:rsidP="0006083F">
            <w:pPr>
              <w:pStyle w:val="TableBlock"/>
              <w:rPr>
                <w:rtl/>
              </w:rPr>
            </w:pPr>
            <w:r w:rsidRPr="002B2691">
              <w:rPr>
                <w:rFonts w:hint="cs"/>
                <w:rtl/>
              </w:rPr>
              <w:t>ענו</w:t>
            </w:r>
            <w:r w:rsidR="00D27F0F" w:rsidRPr="00EB13D4">
              <w:rPr>
                <w:rFonts w:hint="cs"/>
                <w:rtl/>
              </w:rPr>
              <w:t xml:space="preserve"> לפחות 60% </w:t>
            </w:r>
            <w:r w:rsidRPr="002B2691">
              <w:rPr>
                <w:rFonts w:hint="cs"/>
                <w:rtl/>
              </w:rPr>
              <w:t xml:space="preserve">מהזכאים להשתתף במשאל </w:t>
            </w:r>
            <w:r w:rsidR="004A2DAF">
              <w:rPr>
                <w:rFonts w:hint="cs"/>
                <w:rtl/>
              </w:rPr>
              <w:t>ה</w:t>
            </w:r>
            <w:r w:rsidRPr="002B2691">
              <w:rPr>
                <w:rFonts w:hint="cs"/>
                <w:rtl/>
              </w:rPr>
              <w:t>עם</w:t>
            </w:r>
            <w:r w:rsidR="00D27F0F" w:rsidRPr="00EB13D4">
              <w:rPr>
                <w:rFonts w:hint="cs"/>
                <w:rtl/>
              </w:rPr>
              <w:t xml:space="preserve"> את התשובה "כן" בשתי השאלות, יחולו הוראות אלה:</w:t>
            </w:r>
          </w:p>
        </w:tc>
      </w:tr>
      <w:tr w:rsidR="00AF77D1" w14:paraId="22AA9336" w14:textId="77777777" w:rsidTr="00522102">
        <w:trPr>
          <w:cantSplit/>
        </w:trPr>
        <w:tc>
          <w:tcPr>
            <w:tcW w:w="1870" w:type="dxa"/>
          </w:tcPr>
          <w:p w14:paraId="0BB151EB" w14:textId="2EB3122A" w:rsidR="00AF77D1" w:rsidRDefault="00AF77D1">
            <w:pPr>
              <w:pStyle w:val="TableSideHeading"/>
            </w:pPr>
          </w:p>
        </w:tc>
        <w:tc>
          <w:tcPr>
            <w:tcW w:w="624" w:type="dxa"/>
          </w:tcPr>
          <w:p w14:paraId="2CA06CAE" w14:textId="77777777" w:rsidR="00AF77D1" w:rsidRDefault="00AF77D1">
            <w:pPr>
              <w:pStyle w:val="TableText"/>
            </w:pPr>
          </w:p>
        </w:tc>
        <w:tc>
          <w:tcPr>
            <w:tcW w:w="7143" w:type="dxa"/>
            <w:gridSpan w:val="2"/>
          </w:tcPr>
          <w:p w14:paraId="48F2B8DB" w14:textId="249C1EA1" w:rsidR="00AF77D1" w:rsidRDefault="00AF77D1" w:rsidP="0006083F">
            <w:pPr>
              <w:pStyle w:val="TableBlock"/>
            </w:pPr>
            <w:r>
              <w:rPr>
                <w:rFonts w:hint="cs"/>
                <w:rtl/>
              </w:rPr>
              <w:t>(1)</w:t>
            </w:r>
            <w:r>
              <w:rPr>
                <w:rtl/>
              </w:rPr>
              <w:tab/>
            </w:r>
            <w:r w:rsidRPr="00F4639E">
              <w:rPr>
                <w:rtl/>
              </w:rPr>
              <w:t>המשפט, השיפוט והמ</w:t>
            </w:r>
            <w:r w:rsidRPr="00F4639E">
              <w:rPr>
                <w:rFonts w:hint="cs"/>
                <w:rtl/>
              </w:rPr>
              <w:t>י</w:t>
            </w:r>
            <w:r w:rsidRPr="00F4639E">
              <w:rPr>
                <w:rtl/>
              </w:rPr>
              <w:t xml:space="preserve">נהל של </w:t>
            </w:r>
            <w:r w:rsidRPr="00936612">
              <w:rPr>
                <w:rtl/>
              </w:rPr>
              <w:t>מדינ</w:t>
            </w:r>
            <w:r w:rsidRPr="00936612">
              <w:rPr>
                <w:rFonts w:hint="cs"/>
                <w:rtl/>
              </w:rPr>
              <w:t>ת ישראל</w:t>
            </w:r>
            <w:r w:rsidRPr="00936612">
              <w:rPr>
                <w:rtl/>
              </w:rPr>
              <w:t xml:space="preserve"> יחולו </w:t>
            </w:r>
            <w:r>
              <w:rPr>
                <w:rFonts w:hint="cs"/>
                <w:rtl/>
              </w:rPr>
              <w:t xml:space="preserve">בשטח </w:t>
            </w:r>
            <w:r w:rsidRPr="00936612">
              <w:rPr>
                <w:rFonts w:hint="cs"/>
                <w:rtl/>
              </w:rPr>
              <w:t>בקעת הירדן</w:t>
            </w:r>
            <w:r>
              <w:rPr>
                <w:rFonts w:hint="cs"/>
                <w:rtl/>
              </w:rPr>
              <w:t xml:space="preserve"> בחלוף שלושה חודשים מיום פרסום תוצאות משאל העם;</w:t>
            </w:r>
          </w:p>
        </w:tc>
      </w:tr>
      <w:tr w:rsidR="00AF77D1" w14:paraId="66E71404" w14:textId="77777777" w:rsidTr="008745A4">
        <w:trPr>
          <w:cantSplit/>
        </w:trPr>
        <w:tc>
          <w:tcPr>
            <w:tcW w:w="1870" w:type="dxa"/>
          </w:tcPr>
          <w:p w14:paraId="2B9F03DC" w14:textId="77777777" w:rsidR="00AF77D1" w:rsidRDefault="00AF77D1">
            <w:pPr>
              <w:pStyle w:val="TableSideHeading"/>
            </w:pPr>
          </w:p>
        </w:tc>
        <w:tc>
          <w:tcPr>
            <w:tcW w:w="624" w:type="dxa"/>
          </w:tcPr>
          <w:p w14:paraId="0E63D8BB" w14:textId="77777777" w:rsidR="00AF77D1" w:rsidRDefault="00AF77D1" w:rsidP="000336EB">
            <w:pPr>
              <w:pStyle w:val="TableText"/>
            </w:pPr>
          </w:p>
        </w:tc>
        <w:tc>
          <w:tcPr>
            <w:tcW w:w="7143" w:type="dxa"/>
            <w:gridSpan w:val="2"/>
          </w:tcPr>
          <w:p w14:paraId="2EBEC061" w14:textId="4AC9F8E1" w:rsidR="00AF77D1" w:rsidRDefault="00AF77D1" w:rsidP="003A4F15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(2)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מי שהיה תושב שטח בקעת הירדן ביום י"ד בטבת התשע"ח (1 בינואר 2018) ואינו אזרח ישראל, יוכל להגיש בקשה לקבלת תושבות זמנית לתקופה </w:t>
            </w:r>
            <w:r w:rsidRPr="001C6235">
              <w:rPr>
                <w:rFonts w:hint="cs"/>
                <w:rtl/>
              </w:rPr>
              <w:t xml:space="preserve">של </w:t>
            </w:r>
            <w:r w:rsidRPr="002B2691">
              <w:rPr>
                <w:rFonts w:hint="eastAsia"/>
                <w:rtl/>
              </w:rPr>
              <w:t>חמש</w:t>
            </w:r>
            <w:r>
              <w:rPr>
                <w:rtl/>
              </w:rPr>
              <w:t xml:space="preserve"> שני</w:t>
            </w:r>
            <w:r>
              <w:rPr>
                <w:rFonts w:hint="cs"/>
                <w:rtl/>
              </w:rPr>
              <w:t>ם, ובתום חמש שנים מיום קבלת התושבות הזמנית יוכל להגיש בקשה לקבלת תושבות קבע;</w:t>
            </w:r>
          </w:p>
        </w:tc>
      </w:tr>
      <w:tr w:rsidR="00AF77D1" w14:paraId="7CB2C336" w14:textId="77777777" w:rsidTr="00AE0753">
        <w:trPr>
          <w:cantSplit/>
        </w:trPr>
        <w:tc>
          <w:tcPr>
            <w:tcW w:w="1870" w:type="dxa"/>
          </w:tcPr>
          <w:p w14:paraId="32F26B1E" w14:textId="77777777" w:rsidR="00AF77D1" w:rsidRDefault="00AF77D1">
            <w:pPr>
              <w:pStyle w:val="TableSideHeading"/>
            </w:pPr>
          </w:p>
        </w:tc>
        <w:tc>
          <w:tcPr>
            <w:tcW w:w="624" w:type="dxa"/>
          </w:tcPr>
          <w:p w14:paraId="19043B09" w14:textId="77777777" w:rsidR="00AF77D1" w:rsidRDefault="00AF77D1" w:rsidP="00040B78">
            <w:pPr>
              <w:pStyle w:val="TableText"/>
            </w:pPr>
          </w:p>
        </w:tc>
        <w:tc>
          <w:tcPr>
            <w:tcW w:w="7143" w:type="dxa"/>
            <w:gridSpan w:val="2"/>
          </w:tcPr>
          <w:p w14:paraId="52680C75" w14:textId="6D735831" w:rsidR="00AF77D1" w:rsidRDefault="00AF77D1" w:rsidP="004042E3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(3)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מי שקיבל תושבות קבע לפי פסקה (2), יוכל להגיש בקשה לקבלת  אזרחות ישראלית בתום חמש שנים מיום קבלת תושבות הקבע ובתנאי שמיום שקיבל תושבות זמנית לא הורשע </w:t>
            </w:r>
            <w:r w:rsidRPr="0045615F">
              <w:rPr>
                <w:rtl/>
              </w:rPr>
              <w:t xml:space="preserve">בפעילות </w:t>
            </w:r>
            <w:r w:rsidRPr="0045615F">
              <w:rPr>
                <w:rFonts w:hint="cs"/>
                <w:rtl/>
              </w:rPr>
              <w:t>נגד מדינת ישראל</w:t>
            </w:r>
            <w:r>
              <w:rPr>
                <w:rFonts w:hint="cs"/>
                <w:rtl/>
              </w:rPr>
              <w:t>,</w:t>
            </w:r>
            <w:r w:rsidRPr="0045615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שאינו חב בתשלומי חובה למדינה, ושלא</w:t>
            </w:r>
            <w:r w:rsidRPr="002B2691">
              <w:rPr>
                <w:rFonts w:hint="cs"/>
                <w:rtl/>
              </w:rPr>
              <w:t xml:space="preserve"> פרסם ביודעין</w:t>
            </w:r>
            <w:r>
              <w:rPr>
                <w:rFonts w:hint="cs"/>
                <w:rtl/>
              </w:rPr>
              <w:t>,</w:t>
            </w:r>
            <w:r w:rsidRPr="002B2691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החל מיום </w:t>
            </w:r>
            <w:r>
              <w:rPr>
                <w:rFonts w:hint="cs"/>
                <w:rtl/>
              </w:rPr>
              <w:t>תחילתו</w:t>
            </w:r>
            <w:r>
              <w:rPr>
                <w:rtl/>
              </w:rPr>
              <w:t xml:space="preserve"> של חוק זה</w:t>
            </w:r>
            <w:r>
              <w:rPr>
                <w:rFonts w:hint="cs"/>
                <w:rtl/>
              </w:rPr>
              <w:t>,</w:t>
            </w:r>
            <w:r w:rsidRPr="002B2691">
              <w:rPr>
                <w:rFonts w:hint="cs"/>
                <w:rtl/>
              </w:rPr>
              <w:t xml:space="preserve"> קריאה פומבית להטלת חרם על מדינת ישראל, כהגדרתו בחוק למניעת פגיעה במדינת ישראל באמצעות חרם, </w:t>
            </w:r>
            <w:proofErr w:type="spellStart"/>
            <w:r w:rsidRPr="002B2691">
              <w:rPr>
                <w:rFonts w:hint="cs"/>
                <w:rtl/>
              </w:rPr>
              <w:t>התשע"א</w:t>
            </w:r>
            <w:proofErr w:type="spellEnd"/>
            <w:r>
              <w:rPr>
                <w:rFonts w:hint="eastAsia"/>
                <w:rtl/>
              </w:rPr>
              <w:t>–</w:t>
            </w:r>
            <w:r w:rsidRPr="002B2691">
              <w:rPr>
                <w:rFonts w:hint="cs"/>
                <w:rtl/>
              </w:rPr>
              <w:t>2011</w:t>
            </w:r>
            <w:r>
              <w:rPr>
                <w:rStyle w:val="a5"/>
                <w:rtl/>
              </w:rPr>
              <w:footnoteReference w:id="2"/>
            </w:r>
            <w:r>
              <w:rPr>
                <w:rFonts w:hint="cs"/>
                <w:rtl/>
              </w:rPr>
              <w:t xml:space="preserve">. </w:t>
            </w:r>
          </w:p>
        </w:tc>
      </w:tr>
      <w:tr w:rsidR="00270AFD" w14:paraId="75789E3B" w14:textId="77777777" w:rsidTr="0006083F">
        <w:trPr>
          <w:cantSplit/>
        </w:trPr>
        <w:tc>
          <w:tcPr>
            <w:tcW w:w="1870" w:type="dxa"/>
          </w:tcPr>
          <w:p w14:paraId="5D22E985" w14:textId="1A1DF06D" w:rsidR="00270AFD" w:rsidRDefault="00BA7AFD" w:rsidP="002C3041">
            <w:pPr>
              <w:pStyle w:val="TableSideHeading"/>
              <w:keepLines w:val="0"/>
              <w:rPr>
                <w:rtl/>
              </w:rPr>
            </w:pPr>
            <w:r>
              <w:rPr>
                <w:rFonts w:hint="cs"/>
                <w:rtl/>
              </w:rPr>
              <w:t>תחולת הוראות חוק סדרי השלטון והמשפט</w:t>
            </w:r>
            <w:r w:rsidR="00AF77D1">
              <w:rPr>
                <w:rFonts w:hint="cs"/>
                <w:rtl/>
              </w:rPr>
              <w:t xml:space="preserve"> (ביטול החלת המשפט, השיפוט </w:t>
            </w:r>
            <w:proofErr w:type="spellStart"/>
            <w:r w:rsidR="00AF77D1">
              <w:rPr>
                <w:rFonts w:hint="cs"/>
                <w:rtl/>
              </w:rPr>
              <w:t>והמינהל</w:t>
            </w:r>
            <w:proofErr w:type="spellEnd"/>
            <w:r w:rsidR="00AF77D1">
              <w:rPr>
                <w:rFonts w:hint="cs"/>
                <w:rtl/>
              </w:rPr>
              <w:t>)</w:t>
            </w:r>
          </w:p>
        </w:tc>
        <w:tc>
          <w:tcPr>
            <w:tcW w:w="624" w:type="dxa"/>
          </w:tcPr>
          <w:p w14:paraId="1F656B22" w14:textId="6364B1EE" w:rsidR="00270AFD" w:rsidRDefault="00D27F0F" w:rsidP="000336E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7143" w:type="dxa"/>
            <w:gridSpan w:val="2"/>
          </w:tcPr>
          <w:p w14:paraId="10CBCCB3" w14:textId="099D4165" w:rsidR="00270AFD" w:rsidRDefault="00D27F0F" w:rsidP="0006083F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(א)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על משאל העם יחולו הוראות סעיפים 9 עד 11 לחוק סדרי השלטון והמשפט (ביטול החל</w:t>
            </w:r>
            <w:r w:rsidR="00AF77D1">
              <w:rPr>
                <w:rFonts w:hint="cs"/>
                <w:rtl/>
              </w:rPr>
              <w:t>ת</w:t>
            </w:r>
            <w:r>
              <w:rPr>
                <w:rFonts w:hint="cs"/>
                <w:rtl/>
              </w:rPr>
              <w:t xml:space="preserve"> המשפט, השיפוט </w:t>
            </w:r>
            <w:proofErr w:type="spellStart"/>
            <w:r>
              <w:rPr>
                <w:rFonts w:hint="cs"/>
                <w:rtl/>
              </w:rPr>
              <w:t>והמינהל</w:t>
            </w:r>
            <w:proofErr w:type="spellEnd"/>
            <w:r>
              <w:rPr>
                <w:rFonts w:hint="cs"/>
                <w:rtl/>
              </w:rPr>
              <w:t xml:space="preserve">), </w:t>
            </w:r>
            <w:proofErr w:type="spellStart"/>
            <w:r>
              <w:rPr>
                <w:rFonts w:hint="cs"/>
                <w:rtl/>
              </w:rPr>
              <w:t>התשנ"ט</w:t>
            </w:r>
            <w:proofErr w:type="spellEnd"/>
            <w:r>
              <w:rPr>
                <w:rFonts w:hint="eastAsia"/>
                <w:rtl/>
              </w:rPr>
              <w:t>–</w:t>
            </w:r>
            <w:r>
              <w:rPr>
                <w:rFonts w:hint="cs"/>
                <w:rtl/>
              </w:rPr>
              <w:t>1999</w:t>
            </w:r>
            <w:r>
              <w:rPr>
                <w:rStyle w:val="a5"/>
                <w:rtl/>
              </w:rPr>
              <w:footnoteReference w:id="3"/>
            </w:r>
            <w:r>
              <w:rPr>
                <w:rFonts w:hint="cs"/>
                <w:rtl/>
              </w:rPr>
              <w:t>, בשינויים המחויבים.</w:t>
            </w:r>
          </w:p>
        </w:tc>
      </w:tr>
      <w:tr w:rsidR="000C7A09" w14:paraId="7ABBFA9F" w14:textId="77777777" w:rsidTr="0006083F">
        <w:trPr>
          <w:cantSplit/>
        </w:trPr>
        <w:tc>
          <w:tcPr>
            <w:tcW w:w="1870" w:type="dxa"/>
          </w:tcPr>
          <w:p w14:paraId="0E5FFCD2" w14:textId="77777777" w:rsidR="000C7A09" w:rsidRDefault="000C7A09" w:rsidP="002C3041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1372BB4A" w14:textId="77777777" w:rsidR="000C7A09" w:rsidRDefault="000C7A09" w:rsidP="000C7A09">
            <w:pPr>
              <w:pStyle w:val="TableText"/>
              <w:rPr>
                <w:rtl/>
              </w:rPr>
            </w:pPr>
          </w:p>
        </w:tc>
        <w:tc>
          <w:tcPr>
            <w:tcW w:w="7143" w:type="dxa"/>
            <w:gridSpan w:val="2"/>
          </w:tcPr>
          <w:p w14:paraId="3387C5CC" w14:textId="3795F77B" w:rsidR="000C7A09" w:rsidRDefault="00AF77D1" w:rsidP="0006083F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(ב)</w:t>
            </w:r>
            <w:r>
              <w:rPr>
                <w:rtl/>
              </w:rPr>
              <w:tab/>
            </w:r>
            <w:r w:rsidR="000C7A09">
              <w:rPr>
                <w:rFonts w:hint="cs"/>
                <w:rtl/>
              </w:rPr>
              <w:t xml:space="preserve">על אף האמור בסעיף קטן (א), חברי ועדות הקלפי </w:t>
            </w:r>
            <w:r w:rsidR="00B57C28">
              <w:rPr>
                <w:rFonts w:hint="cs"/>
                <w:rtl/>
              </w:rPr>
              <w:t xml:space="preserve">במשאל העם </w:t>
            </w:r>
            <w:r w:rsidR="000C7A09">
              <w:rPr>
                <w:rFonts w:hint="cs"/>
                <w:rtl/>
              </w:rPr>
              <w:t>ימונו על ידי ועדת הבחירות המרכזית</w:t>
            </w:r>
            <w:r w:rsidR="004E1584">
              <w:rPr>
                <w:rFonts w:hint="cs"/>
                <w:rtl/>
              </w:rPr>
              <w:t>.</w:t>
            </w:r>
          </w:p>
        </w:tc>
      </w:tr>
      <w:tr w:rsidR="00C43C3F" w14:paraId="53A0F2EF" w14:textId="77777777" w:rsidTr="0006083F">
        <w:trPr>
          <w:cantSplit/>
        </w:trPr>
        <w:tc>
          <w:tcPr>
            <w:tcW w:w="1870" w:type="dxa"/>
          </w:tcPr>
          <w:p w14:paraId="4AE177A4" w14:textId="77777777" w:rsidR="00C43C3F" w:rsidRDefault="00C43C3F" w:rsidP="002C3041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46B7AA71" w14:textId="77777777" w:rsidR="00C43C3F" w:rsidRDefault="00C43C3F" w:rsidP="00C43C3F">
            <w:pPr>
              <w:pStyle w:val="TableText"/>
              <w:rPr>
                <w:rtl/>
              </w:rPr>
            </w:pPr>
          </w:p>
        </w:tc>
        <w:tc>
          <w:tcPr>
            <w:tcW w:w="7143" w:type="dxa"/>
            <w:gridSpan w:val="2"/>
          </w:tcPr>
          <w:p w14:paraId="0F127F0E" w14:textId="3C543D7D" w:rsidR="00C43C3F" w:rsidRDefault="00D27F0F" w:rsidP="00B57C28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4E1584">
              <w:rPr>
                <w:rFonts w:hint="cs"/>
                <w:rtl/>
              </w:rPr>
              <w:t>ג</w:t>
            </w:r>
            <w:r>
              <w:rPr>
                <w:rFonts w:hint="cs"/>
                <w:rtl/>
              </w:rPr>
              <w:t>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ועדת הבחירות המרכזית תתייעץ עם המינהל האזרחי בעניין הצבת הקלפיות בהן </w:t>
            </w:r>
            <w:r w:rsidR="00B57C28">
              <w:rPr>
                <w:rFonts w:hint="cs"/>
                <w:rtl/>
              </w:rPr>
              <w:t>יתקיים</w:t>
            </w:r>
            <w:r>
              <w:rPr>
                <w:rFonts w:hint="cs"/>
                <w:rtl/>
              </w:rPr>
              <w:t xml:space="preserve"> משאל העם בשטח בקעת הירדן.</w:t>
            </w:r>
          </w:p>
        </w:tc>
      </w:tr>
      <w:tr w:rsidR="00BA7AFD" w14:paraId="2EE3889F" w14:textId="77777777" w:rsidTr="0006083F">
        <w:trPr>
          <w:cantSplit/>
        </w:trPr>
        <w:tc>
          <w:tcPr>
            <w:tcW w:w="1870" w:type="dxa"/>
          </w:tcPr>
          <w:p w14:paraId="76289D6C" w14:textId="28D1790E" w:rsidR="00BA7AFD" w:rsidRDefault="00BA7AFD" w:rsidP="002C3041">
            <w:pPr>
              <w:pStyle w:val="TableSideHeading"/>
              <w:keepLines w:val="0"/>
              <w:rPr>
                <w:rtl/>
              </w:rPr>
            </w:pPr>
            <w:r>
              <w:rPr>
                <w:rFonts w:hint="cs"/>
                <w:rtl/>
              </w:rPr>
              <w:t>ביצוע</w:t>
            </w:r>
          </w:p>
        </w:tc>
        <w:tc>
          <w:tcPr>
            <w:tcW w:w="624" w:type="dxa"/>
          </w:tcPr>
          <w:p w14:paraId="0F2C35BE" w14:textId="2B2C1555" w:rsidR="00BA7AFD" w:rsidRDefault="00D27F0F" w:rsidP="000336E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7143" w:type="dxa"/>
            <w:gridSpan w:val="2"/>
          </w:tcPr>
          <w:p w14:paraId="2E167717" w14:textId="59DB0085" w:rsidR="00BA7AFD" w:rsidRDefault="00D27F0F" w:rsidP="0006083F">
            <w:pPr>
              <w:pStyle w:val="TableBlock"/>
              <w:rPr>
                <w:rtl/>
              </w:rPr>
            </w:pPr>
            <w:r w:rsidRPr="007E1AE5">
              <w:rPr>
                <w:rFonts w:hint="cs"/>
                <w:rtl/>
              </w:rPr>
              <w:t>ש</w:t>
            </w:r>
            <w:r w:rsidRPr="007E1AE5">
              <w:rPr>
                <w:rtl/>
              </w:rPr>
              <w:t xml:space="preserve">ר </w:t>
            </w:r>
            <w:r>
              <w:rPr>
                <w:rFonts w:hint="cs"/>
                <w:rtl/>
              </w:rPr>
              <w:t xml:space="preserve">המשפטים </w:t>
            </w:r>
            <w:r w:rsidRPr="007E1AE5">
              <w:rPr>
                <w:rtl/>
              </w:rPr>
              <w:t xml:space="preserve">ממונה על ביצוע חוק זה והוא רשאי, </w:t>
            </w:r>
            <w:r w:rsidRPr="00D740EA">
              <w:rPr>
                <w:rFonts w:hint="eastAsia"/>
                <w:rtl/>
              </w:rPr>
              <w:t>באישור</w:t>
            </w:r>
            <w:r w:rsidRPr="00D740EA">
              <w:rPr>
                <w:rtl/>
              </w:rPr>
              <w:t xml:space="preserve"> </w:t>
            </w:r>
            <w:r w:rsidRPr="00D740EA">
              <w:rPr>
                <w:rFonts w:hint="eastAsia"/>
                <w:rtl/>
              </w:rPr>
              <w:t>ועדת</w:t>
            </w:r>
            <w:r w:rsidRPr="00D740EA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החוקה, חוק ומשפט</w:t>
            </w:r>
            <w:r w:rsidRPr="00D740EA">
              <w:rPr>
                <w:rtl/>
              </w:rPr>
              <w:t xml:space="preserve"> </w:t>
            </w:r>
            <w:r w:rsidRPr="00D740EA">
              <w:rPr>
                <w:rFonts w:hint="eastAsia"/>
                <w:rtl/>
              </w:rPr>
              <w:t>של</w:t>
            </w:r>
            <w:r w:rsidRPr="00D740EA">
              <w:rPr>
                <w:rtl/>
              </w:rPr>
              <w:t xml:space="preserve"> </w:t>
            </w:r>
            <w:r w:rsidRPr="00D740EA">
              <w:rPr>
                <w:rFonts w:hint="eastAsia"/>
                <w:rtl/>
              </w:rPr>
              <w:t>הכנסת</w:t>
            </w:r>
            <w:r w:rsidRPr="00D740EA">
              <w:rPr>
                <w:rFonts w:hint="cs"/>
                <w:rtl/>
              </w:rPr>
              <w:t xml:space="preserve">, </w:t>
            </w:r>
            <w:r w:rsidRPr="00D740EA">
              <w:rPr>
                <w:rtl/>
              </w:rPr>
              <w:t>להתקין</w:t>
            </w:r>
            <w:r w:rsidRPr="007E1AE5">
              <w:rPr>
                <w:rtl/>
              </w:rPr>
              <w:t xml:space="preserve"> תקנות בכל הנוגע לביצועו</w:t>
            </w:r>
            <w:r>
              <w:rPr>
                <w:rFonts w:hint="cs"/>
                <w:rtl/>
              </w:rPr>
              <w:t>, לרבות בעניין</w:t>
            </w:r>
            <w:r w:rsidRPr="007E1AE5">
              <w:rPr>
                <w:rtl/>
              </w:rPr>
              <w:t xml:space="preserve"> הוראות מעבר והוראות בדבר המשך תוקפ</w:t>
            </w:r>
            <w:r>
              <w:rPr>
                <w:rFonts w:hint="cs"/>
                <w:rtl/>
              </w:rPr>
              <w:t>ם</w:t>
            </w:r>
            <w:r w:rsidRPr="007E1AE5">
              <w:rPr>
                <w:rtl/>
              </w:rPr>
              <w:t xml:space="preserve"> של תקנות, צווים, הוראות מינהל וזכויות וחובות אשר היו בתוקף </w:t>
            </w:r>
            <w:r>
              <w:rPr>
                <w:rFonts w:hint="cs"/>
                <w:rtl/>
              </w:rPr>
              <w:t>בשטח בקעת הירדן</w:t>
            </w:r>
            <w:r w:rsidR="0006083F">
              <w:rPr>
                <w:rtl/>
              </w:rPr>
              <w:t xml:space="preserve"> ערב תחילתו של חוק זה. </w:t>
            </w:r>
          </w:p>
        </w:tc>
      </w:tr>
      <w:tr w:rsidR="001632E8" w14:paraId="4664C924" w14:textId="77777777" w:rsidTr="0006083F">
        <w:trPr>
          <w:cantSplit/>
        </w:trPr>
        <w:tc>
          <w:tcPr>
            <w:tcW w:w="1870" w:type="dxa"/>
          </w:tcPr>
          <w:p w14:paraId="7DE689BC" w14:textId="77777777" w:rsidR="001632E8" w:rsidRDefault="001632E8" w:rsidP="002C3041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103EDF12" w14:textId="77777777" w:rsidR="001632E8" w:rsidRDefault="001632E8" w:rsidP="001632E8">
            <w:pPr>
              <w:pStyle w:val="TableText"/>
              <w:rPr>
                <w:rtl/>
              </w:rPr>
            </w:pPr>
          </w:p>
        </w:tc>
        <w:tc>
          <w:tcPr>
            <w:tcW w:w="7143" w:type="dxa"/>
            <w:gridSpan w:val="2"/>
          </w:tcPr>
          <w:p w14:paraId="57006D0F" w14:textId="7BF57F12" w:rsidR="001632E8" w:rsidRPr="00AF77D1" w:rsidRDefault="00D27F0F" w:rsidP="0006083F">
            <w:pPr>
              <w:pStyle w:val="TableHead"/>
              <w:rPr>
                <w:rtl/>
              </w:rPr>
            </w:pPr>
            <w:r w:rsidRPr="00AF77D1">
              <w:rPr>
                <w:rFonts w:hint="cs"/>
                <w:rtl/>
              </w:rPr>
              <w:t>תוספת</w:t>
            </w:r>
            <w:r w:rsidRPr="00AF77D1">
              <w:rPr>
                <w:rtl/>
              </w:rPr>
              <w:footnoteReference w:customMarkFollows="1" w:id="4"/>
              <w:t>*</w:t>
            </w:r>
          </w:p>
        </w:tc>
      </w:tr>
      <w:tr w:rsidR="001632E8" w14:paraId="6AB1EFCE" w14:textId="77777777" w:rsidTr="0006083F">
        <w:trPr>
          <w:cantSplit/>
        </w:trPr>
        <w:tc>
          <w:tcPr>
            <w:tcW w:w="1870" w:type="dxa"/>
          </w:tcPr>
          <w:p w14:paraId="18AF8096" w14:textId="77777777" w:rsidR="001632E8" w:rsidRDefault="001632E8" w:rsidP="002C3041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1FE4A906" w14:textId="77777777" w:rsidR="001632E8" w:rsidRDefault="001632E8" w:rsidP="001632E8">
            <w:pPr>
              <w:pStyle w:val="TableText"/>
              <w:rPr>
                <w:rtl/>
              </w:rPr>
            </w:pPr>
          </w:p>
        </w:tc>
        <w:tc>
          <w:tcPr>
            <w:tcW w:w="7143" w:type="dxa"/>
            <w:gridSpan w:val="2"/>
          </w:tcPr>
          <w:p w14:paraId="22351D4E" w14:textId="479B24A1" w:rsidR="001632E8" w:rsidRPr="001632E8" w:rsidRDefault="00D27F0F" w:rsidP="0006083F">
            <w:pPr>
              <w:pStyle w:val="TableBlock"/>
              <w:jc w:val="center"/>
              <w:rPr>
                <w:rtl/>
              </w:rPr>
            </w:pPr>
            <w:r>
              <w:rPr>
                <w:rFonts w:hint="cs"/>
                <w:rtl/>
              </w:rPr>
              <w:t>(סעיף 1)</w:t>
            </w:r>
          </w:p>
        </w:tc>
      </w:tr>
    </w:tbl>
    <w:p w14:paraId="0F597B4F" w14:textId="77777777" w:rsidR="0006083F" w:rsidRDefault="0006083F" w:rsidP="002D1EE3">
      <w:pPr>
        <w:pStyle w:val="HeadDivreiHesber"/>
        <w:rPr>
          <w:rtl/>
        </w:rPr>
      </w:pPr>
    </w:p>
    <w:p w14:paraId="7F6961CA" w14:textId="77777777" w:rsidR="002D1EE3" w:rsidRDefault="002D1EE3" w:rsidP="002D1EE3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7019AA58" w14:textId="432523B9" w:rsidR="00294DC1" w:rsidRPr="00294DC1" w:rsidRDefault="00294DC1" w:rsidP="006B48BE">
      <w:pPr>
        <w:pStyle w:val="Hesber"/>
        <w:rPr>
          <w:rtl/>
        </w:rPr>
      </w:pPr>
      <w:r w:rsidRPr="00294DC1">
        <w:rPr>
          <w:rFonts w:hint="cs"/>
          <w:rtl/>
        </w:rPr>
        <w:t xml:space="preserve">יישובי בקעת הירדן הם נכס אסטרטגי וביטחוני ממעלה ראשונה מיום </w:t>
      </w:r>
      <w:r w:rsidR="007B2B72">
        <w:rPr>
          <w:rFonts w:hint="cs"/>
          <w:rtl/>
        </w:rPr>
        <w:t>הקמתם</w:t>
      </w:r>
      <w:r w:rsidRPr="00294DC1">
        <w:rPr>
          <w:rFonts w:hint="cs"/>
          <w:rtl/>
        </w:rPr>
        <w:t xml:space="preserve"> ועד היום. תושבי בקעת הירדן הם מתיישבים </w:t>
      </w:r>
      <w:r w:rsidR="006B48BE">
        <w:rPr>
          <w:rFonts w:hint="cs"/>
          <w:rtl/>
        </w:rPr>
        <w:t>ש</w:t>
      </w:r>
      <w:r w:rsidRPr="00294DC1">
        <w:rPr>
          <w:rFonts w:hint="cs"/>
          <w:rtl/>
        </w:rPr>
        <w:t xml:space="preserve">ניצבים כחיץ ביטחוני על גבולה של </w:t>
      </w:r>
      <w:r w:rsidR="007B2B72">
        <w:rPr>
          <w:rFonts w:hint="cs"/>
          <w:rtl/>
        </w:rPr>
        <w:t xml:space="preserve">מדינת </w:t>
      </w:r>
      <w:r w:rsidRPr="00294DC1">
        <w:rPr>
          <w:rFonts w:hint="cs"/>
          <w:rtl/>
        </w:rPr>
        <w:t xml:space="preserve">ישראל ומשמשים כמגן ביטחוני ואסטרטגי עבור </w:t>
      </w:r>
      <w:r w:rsidR="007B2B72">
        <w:rPr>
          <w:rFonts w:hint="cs"/>
          <w:rtl/>
        </w:rPr>
        <w:t>המדינה.</w:t>
      </w:r>
      <w:r w:rsidR="007B2B72" w:rsidRPr="00294DC1">
        <w:rPr>
          <w:rFonts w:hint="cs"/>
          <w:rtl/>
        </w:rPr>
        <w:t xml:space="preserve"> </w:t>
      </w:r>
      <w:r w:rsidRPr="00294DC1">
        <w:rPr>
          <w:rFonts w:hint="cs"/>
          <w:rtl/>
        </w:rPr>
        <w:t>קיים צורך להבטיח את יכולתה של מדינת ישראל להגן על תושביה ועל ביטחונם.</w:t>
      </w:r>
    </w:p>
    <w:p w14:paraId="23A8D806" w14:textId="02D85451" w:rsidR="00294DC1" w:rsidRPr="00294DC1" w:rsidRDefault="00294DC1" w:rsidP="004436A0">
      <w:pPr>
        <w:pStyle w:val="Hesber"/>
        <w:rPr>
          <w:rtl/>
        </w:rPr>
      </w:pPr>
      <w:r w:rsidRPr="00294DC1">
        <w:rPr>
          <w:rFonts w:hint="cs"/>
          <w:rtl/>
        </w:rPr>
        <w:t xml:space="preserve">היות שבקעת הירדן נמצאת תחת </w:t>
      </w:r>
      <w:r w:rsidR="004436A0">
        <w:rPr>
          <w:rFonts w:hint="cs"/>
          <w:rtl/>
        </w:rPr>
        <w:t>שליטה צבאית</w:t>
      </w:r>
      <w:r w:rsidRPr="00294DC1">
        <w:rPr>
          <w:rFonts w:hint="cs"/>
          <w:rtl/>
        </w:rPr>
        <w:t xml:space="preserve"> בשל </w:t>
      </w:r>
      <w:r w:rsidR="007B2B72">
        <w:rPr>
          <w:rFonts w:hint="cs"/>
          <w:rtl/>
        </w:rPr>
        <w:t>השתייכותה</w:t>
      </w:r>
      <w:r w:rsidR="007B2B72" w:rsidRPr="00294DC1">
        <w:rPr>
          <w:rFonts w:hint="cs"/>
          <w:rtl/>
        </w:rPr>
        <w:t xml:space="preserve"> </w:t>
      </w:r>
      <w:r w:rsidRPr="00294DC1">
        <w:rPr>
          <w:rFonts w:hint="cs"/>
          <w:rtl/>
        </w:rPr>
        <w:t xml:space="preserve">לשטח </w:t>
      </w:r>
      <w:r w:rsidRPr="00294DC1">
        <w:t>C</w:t>
      </w:r>
      <w:r w:rsidRPr="00294DC1">
        <w:rPr>
          <w:rFonts w:hint="cs"/>
          <w:rtl/>
        </w:rPr>
        <w:t xml:space="preserve">, נוצר מצב לא סביר </w:t>
      </w:r>
      <w:r w:rsidR="006B48BE">
        <w:rPr>
          <w:rFonts w:hint="cs"/>
          <w:rtl/>
        </w:rPr>
        <w:t>ש</w:t>
      </w:r>
      <w:r w:rsidRPr="00294DC1">
        <w:rPr>
          <w:rFonts w:hint="cs"/>
          <w:rtl/>
        </w:rPr>
        <w:t xml:space="preserve">בו אין באפשרותם של תושבי בקעת הירדן לפתח את יישוביהם ולהפריח את אזור מגוריהם. מצב זה נוצר </w:t>
      </w:r>
      <w:r w:rsidR="007B2B72">
        <w:rPr>
          <w:rFonts w:hint="cs"/>
          <w:rtl/>
        </w:rPr>
        <w:t>גם נוכח</w:t>
      </w:r>
      <w:r w:rsidR="007B2B72" w:rsidRPr="00294DC1">
        <w:rPr>
          <w:rFonts w:hint="cs"/>
          <w:rtl/>
        </w:rPr>
        <w:t xml:space="preserve"> </w:t>
      </w:r>
      <w:r w:rsidRPr="00294DC1">
        <w:rPr>
          <w:rFonts w:hint="cs"/>
          <w:rtl/>
        </w:rPr>
        <w:t xml:space="preserve">אי </w:t>
      </w:r>
      <w:r w:rsidR="007B2B72">
        <w:rPr>
          <w:rFonts w:hint="cs"/>
          <w:rtl/>
        </w:rPr>
        <w:t>ה</w:t>
      </w:r>
      <w:r w:rsidRPr="00294DC1">
        <w:rPr>
          <w:rFonts w:hint="cs"/>
          <w:rtl/>
        </w:rPr>
        <w:t>ודאות בדבר חוקי המקרקעין החלים על</w:t>
      </w:r>
      <w:r w:rsidR="007B2B72">
        <w:rPr>
          <w:rFonts w:hint="cs"/>
          <w:rtl/>
        </w:rPr>
        <w:t xml:space="preserve"> אזור</w:t>
      </w:r>
      <w:r w:rsidRPr="00294DC1">
        <w:rPr>
          <w:rFonts w:hint="cs"/>
          <w:rtl/>
        </w:rPr>
        <w:t xml:space="preserve"> בקעת הירדן</w:t>
      </w:r>
      <w:r w:rsidR="007B2B72">
        <w:rPr>
          <w:rFonts w:hint="cs"/>
          <w:rtl/>
        </w:rPr>
        <w:t>,</w:t>
      </w:r>
      <w:r w:rsidRPr="00294DC1">
        <w:rPr>
          <w:rFonts w:hint="cs"/>
          <w:rtl/>
        </w:rPr>
        <w:t xml:space="preserve"> </w:t>
      </w:r>
      <w:r w:rsidR="007B2B72">
        <w:rPr>
          <w:rFonts w:hint="cs"/>
          <w:rtl/>
        </w:rPr>
        <w:t xml:space="preserve">וכן בשל </w:t>
      </w:r>
      <w:r w:rsidRPr="00294DC1">
        <w:rPr>
          <w:rFonts w:hint="cs"/>
          <w:rtl/>
        </w:rPr>
        <w:t xml:space="preserve">בירוקרטיה רבה </w:t>
      </w:r>
      <w:r w:rsidR="007B2B72">
        <w:rPr>
          <w:rFonts w:hint="cs"/>
          <w:rtl/>
        </w:rPr>
        <w:t>ו</w:t>
      </w:r>
      <w:r w:rsidRPr="00294DC1">
        <w:rPr>
          <w:rFonts w:hint="cs"/>
          <w:rtl/>
        </w:rPr>
        <w:t>חוסר במענה מצד משרד הביטחון</w:t>
      </w:r>
      <w:r w:rsidR="007B2B72">
        <w:rPr>
          <w:rFonts w:hint="cs"/>
          <w:rtl/>
        </w:rPr>
        <w:t xml:space="preserve">. </w:t>
      </w:r>
      <w:r w:rsidRPr="00294DC1">
        <w:rPr>
          <w:rFonts w:hint="cs"/>
          <w:rtl/>
        </w:rPr>
        <w:t>בשל כך</w:t>
      </w:r>
      <w:r w:rsidR="007B2B72">
        <w:rPr>
          <w:rFonts w:hint="cs"/>
          <w:rtl/>
        </w:rPr>
        <w:t>,</w:t>
      </w:r>
      <w:r w:rsidRPr="00294DC1">
        <w:rPr>
          <w:rFonts w:hint="cs"/>
          <w:rtl/>
        </w:rPr>
        <w:t xml:space="preserve"> במשך עשרות שנים חבל ארץ זה אינו מפותח כראוי. כמו כן, ישנה אכיפה מוגברת </w:t>
      </w:r>
      <w:r w:rsidR="007B2B72">
        <w:rPr>
          <w:rFonts w:hint="cs"/>
          <w:rtl/>
        </w:rPr>
        <w:t>של</w:t>
      </w:r>
      <w:r w:rsidR="007B2B72" w:rsidRPr="00294DC1">
        <w:rPr>
          <w:rFonts w:hint="cs"/>
          <w:rtl/>
        </w:rPr>
        <w:t xml:space="preserve"> </w:t>
      </w:r>
      <w:r w:rsidRPr="00294DC1">
        <w:rPr>
          <w:rFonts w:hint="cs"/>
          <w:rtl/>
        </w:rPr>
        <w:t xml:space="preserve">חריגות בנייה בבקעת הירדן המופנית רובה ככולה לתושבים היהודים </w:t>
      </w:r>
      <w:r w:rsidR="007B2B72">
        <w:rPr>
          <w:rFonts w:hint="cs"/>
          <w:rtl/>
        </w:rPr>
        <w:t>ב</w:t>
      </w:r>
      <w:r w:rsidRPr="00294DC1">
        <w:rPr>
          <w:rFonts w:hint="cs"/>
          <w:rtl/>
        </w:rPr>
        <w:t xml:space="preserve">בקעת הירדן, לעומת </w:t>
      </w:r>
      <w:r w:rsidRPr="00294DC1">
        <w:rPr>
          <w:rFonts w:hint="cs"/>
          <w:rtl/>
        </w:rPr>
        <w:lastRenderedPageBreak/>
        <w:t>אי אכיפת הגבלות אלו באשר לתושבים הלא יהודים.</w:t>
      </w:r>
    </w:p>
    <w:p w14:paraId="1F7420F1" w14:textId="68DC3190" w:rsidR="00294DC1" w:rsidRDefault="00294DC1" w:rsidP="00294DC1">
      <w:pPr>
        <w:pStyle w:val="Hesber"/>
        <w:rPr>
          <w:rtl/>
        </w:rPr>
      </w:pPr>
      <w:r w:rsidRPr="00294DC1">
        <w:rPr>
          <w:rFonts w:hint="cs"/>
          <w:rtl/>
        </w:rPr>
        <w:t>מטרת הצעת חוק זו היא להסדיר את השתייכותה של בקעת הירדן למדינת ישראל, על כל המשתמע משיוך זה, בכפיפות לחוקי מדינת ישראל אשר יאפשרו</w:t>
      </w:r>
      <w:r w:rsidR="007B2B72">
        <w:rPr>
          <w:rFonts w:hint="cs"/>
          <w:rtl/>
        </w:rPr>
        <w:t xml:space="preserve"> את</w:t>
      </w:r>
      <w:r w:rsidRPr="00294DC1">
        <w:rPr>
          <w:rFonts w:hint="cs"/>
          <w:rtl/>
        </w:rPr>
        <w:t xml:space="preserve"> הבטחת חייהם וביטחונם של כלל תושבי בקעת הירדן והפרחת חבל ארץ זה.</w:t>
      </w:r>
    </w:p>
    <w:p w14:paraId="62665CDE" w14:textId="6FB95057" w:rsidR="007B2B72" w:rsidRDefault="007B2B72" w:rsidP="00B41D3A">
      <w:pPr>
        <w:pStyle w:val="Hesber"/>
        <w:rPr>
          <w:rtl/>
        </w:rPr>
      </w:pPr>
      <w:r>
        <w:rPr>
          <w:rFonts w:hint="cs"/>
          <w:rtl/>
        </w:rPr>
        <w:t xml:space="preserve">על כן, מוצע לקבוע כי </w:t>
      </w:r>
      <w:r w:rsidR="00B41D3A">
        <w:rPr>
          <w:rFonts w:hint="cs"/>
          <w:rtl/>
        </w:rPr>
        <w:t>יתקיים</w:t>
      </w:r>
      <w:r w:rsidR="0015676C">
        <w:rPr>
          <w:rFonts w:hint="cs"/>
          <w:rtl/>
        </w:rPr>
        <w:t xml:space="preserve"> משאל עם בדבר החלת המשפט, השיפוט והמינהל של מדינת ישראל בשטח בקעת הירדן</w:t>
      </w:r>
      <w:r w:rsidR="0006083F">
        <w:rPr>
          <w:rFonts w:hint="cs"/>
          <w:rtl/>
        </w:rPr>
        <w:t xml:space="preserve">, </w:t>
      </w:r>
      <w:r w:rsidR="006B48BE">
        <w:rPr>
          <w:rFonts w:hint="cs"/>
          <w:rtl/>
        </w:rPr>
        <w:t>ש</w:t>
      </w:r>
      <w:r w:rsidR="00B41D3A">
        <w:rPr>
          <w:rFonts w:hint="cs"/>
          <w:rtl/>
        </w:rPr>
        <w:t xml:space="preserve">בו </w:t>
      </w:r>
      <w:r w:rsidR="0015676C">
        <w:rPr>
          <w:rFonts w:hint="cs"/>
          <w:rtl/>
        </w:rPr>
        <w:t xml:space="preserve">ישתתפו כל תושבי בקעת הירדן </w:t>
      </w:r>
      <w:r w:rsidR="00B41D3A">
        <w:rPr>
          <w:rFonts w:hint="cs"/>
          <w:rtl/>
        </w:rPr>
        <w:t>כמתואר בתוספת</w:t>
      </w:r>
      <w:r w:rsidR="0015676C">
        <w:rPr>
          <w:rFonts w:hint="cs"/>
          <w:rtl/>
        </w:rPr>
        <w:t xml:space="preserve">. אם הצביעו לפחות 60% מתושבי בקעת הירדן בעד, יחולו המשפט, השיפוט והמינהל של מדינת ישראל בשטח בקעת הירדן. עוד מוצע לקבוע כי </w:t>
      </w:r>
      <w:r w:rsidR="00B41D3A">
        <w:rPr>
          <w:rFonts w:hint="cs"/>
          <w:rtl/>
        </w:rPr>
        <w:t>תושבי האזור שאינם אזרחי ישראל יהיו זכאים ל</w:t>
      </w:r>
      <w:r w:rsidR="004436A0">
        <w:rPr>
          <w:rFonts w:hint="cs"/>
          <w:rtl/>
        </w:rPr>
        <w:t xml:space="preserve">קבל </w:t>
      </w:r>
      <w:r w:rsidR="00B41D3A">
        <w:rPr>
          <w:rFonts w:hint="cs"/>
          <w:rtl/>
        </w:rPr>
        <w:t xml:space="preserve">אזרחות בהליך מדורג </w:t>
      </w:r>
      <w:r w:rsidR="006B48BE">
        <w:rPr>
          <w:rFonts w:hint="cs"/>
          <w:rtl/>
        </w:rPr>
        <w:t>ש</w:t>
      </w:r>
      <w:r w:rsidR="00B41D3A">
        <w:rPr>
          <w:rFonts w:hint="cs"/>
          <w:rtl/>
        </w:rPr>
        <w:t xml:space="preserve">בו תחילה תינתן תושבות זמנית לחמש שנים, לאחר מכן תושבות קבע לחמש שנים ולבסוף אזרחות, </w:t>
      </w:r>
      <w:r w:rsidR="006B48BE">
        <w:rPr>
          <w:rFonts w:hint="cs"/>
          <w:rtl/>
        </w:rPr>
        <w:t>ו</w:t>
      </w:r>
      <w:r w:rsidR="00B41D3A">
        <w:rPr>
          <w:rFonts w:hint="cs"/>
          <w:rtl/>
        </w:rPr>
        <w:t>הכ</w:t>
      </w:r>
      <w:r w:rsidR="006B48BE">
        <w:rPr>
          <w:rFonts w:hint="cs"/>
          <w:rtl/>
        </w:rPr>
        <w:t>ו</w:t>
      </w:r>
      <w:r w:rsidR="00B41D3A">
        <w:rPr>
          <w:rFonts w:hint="cs"/>
          <w:rtl/>
        </w:rPr>
        <w:t>ל בכפוף למילוי חובות אזרחיות ואי ביצוע פעולות נגד המדינה</w:t>
      </w:r>
      <w:r w:rsidR="0015676C">
        <w:rPr>
          <w:rFonts w:hint="cs"/>
          <w:rtl/>
        </w:rPr>
        <w:t xml:space="preserve">.  </w:t>
      </w:r>
    </w:p>
    <w:p w14:paraId="6FD83CEF" w14:textId="77777777" w:rsidR="00506C4A" w:rsidRPr="00D73212" w:rsidRDefault="00506C4A" w:rsidP="00506C4A">
      <w:pPr>
        <w:pStyle w:val="Hesber"/>
        <w:rPr>
          <w:color w:val="auto"/>
          <w:rtl/>
          <w:lang w:eastAsia="en-US"/>
        </w:rPr>
      </w:pPr>
      <w:r w:rsidRPr="00D73212">
        <w:rPr>
          <w:color w:val="auto"/>
          <w:rtl/>
          <w:lang w:eastAsia="en-US"/>
        </w:rPr>
        <w:t>---------------------------------</w:t>
      </w:r>
    </w:p>
    <w:p w14:paraId="55A6A199" w14:textId="77777777" w:rsidR="00506C4A" w:rsidRPr="00D73212" w:rsidRDefault="00506C4A" w:rsidP="00506C4A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הוגשה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ליו</w:t>
      </w:r>
      <w:r w:rsidRPr="00D73212">
        <w:rPr>
          <w:color w:val="auto"/>
          <w:rtl/>
          <w:lang w:eastAsia="en-US"/>
        </w:rPr>
        <w:t>"</w:t>
      </w:r>
      <w:r w:rsidRPr="00D73212">
        <w:rPr>
          <w:rFonts w:hint="cs"/>
          <w:color w:val="auto"/>
          <w:rtl/>
          <w:lang w:eastAsia="en-US"/>
        </w:rPr>
        <w:t>ר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והסגנים</w:t>
      </w:r>
    </w:p>
    <w:p w14:paraId="74923F53" w14:textId="77777777" w:rsidR="00506C4A" w:rsidRPr="00D73212" w:rsidRDefault="00506C4A" w:rsidP="00506C4A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והונחה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על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שולחן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ביום</w:t>
      </w:r>
    </w:p>
    <w:p w14:paraId="29943DB4" w14:textId="77777777" w:rsidR="00506C4A" w:rsidRPr="00317312" w:rsidRDefault="00506C4A" w:rsidP="00506C4A">
      <w:pPr>
        <w:pStyle w:val="Hesber"/>
      </w:pPr>
      <w:r>
        <w:rPr>
          <w:rFonts w:hint="cs"/>
          <w:color w:val="auto"/>
          <w:rtl/>
          <w:lang w:eastAsia="en-US"/>
        </w:rPr>
        <w:t>כ"ז בשבט</w:t>
      </w:r>
      <w:r w:rsidRPr="00D73212">
        <w:rPr>
          <w:color w:val="auto"/>
          <w:rtl/>
          <w:lang w:eastAsia="en-US"/>
        </w:rPr>
        <w:t xml:space="preserve"> </w:t>
      </w:r>
      <w:proofErr w:type="spellStart"/>
      <w:r w:rsidRPr="00D73212">
        <w:rPr>
          <w:rFonts w:hint="cs"/>
          <w:color w:val="auto"/>
          <w:rtl/>
          <w:lang w:eastAsia="en-US"/>
        </w:rPr>
        <w:t>התשע</w:t>
      </w:r>
      <w:r w:rsidRPr="00D73212">
        <w:rPr>
          <w:color w:val="auto"/>
          <w:rtl/>
          <w:lang w:eastAsia="en-US"/>
        </w:rPr>
        <w:t>"</w:t>
      </w:r>
      <w:r>
        <w:rPr>
          <w:rFonts w:hint="cs"/>
          <w:color w:val="auto"/>
          <w:rtl/>
          <w:lang w:eastAsia="en-US"/>
        </w:rPr>
        <w:t>ח</w:t>
      </w:r>
      <w:proofErr w:type="spellEnd"/>
      <w:r w:rsidRPr="00D73212">
        <w:rPr>
          <w:color w:val="auto"/>
          <w:rtl/>
          <w:lang w:eastAsia="en-US"/>
        </w:rPr>
        <w:t xml:space="preserve"> – </w:t>
      </w:r>
      <w:r>
        <w:rPr>
          <w:rFonts w:hint="cs"/>
          <w:color w:val="auto"/>
          <w:rtl/>
          <w:lang w:eastAsia="en-US"/>
        </w:rPr>
        <w:t>12.2</w:t>
      </w:r>
      <w:r w:rsidRPr="00D73212">
        <w:rPr>
          <w:color w:val="auto"/>
          <w:rtl/>
          <w:lang w:eastAsia="en-US"/>
        </w:rPr>
        <w:t>.</w:t>
      </w:r>
      <w:r>
        <w:rPr>
          <w:rFonts w:hint="cs"/>
          <w:color w:val="auto"/>
          <w:rtl/>
          <w:lang w:eastAsia="en-US"/>
        </w:rPr>
        <w:t>18</w:t>
      </w:r>
    </w:p>
    <w:p w14:paraId="49056A9F" w14:textId="77777777" w:rsidR="00506C4A" w:rsidRPr="00506C4A" w:rsidRDefault="00506C4A" w:rsidP="00B41D3A">
      <w:pPr>
        <w:pStyle w:val="Hesber"/>
        <w:rPr>
          <w:rtl/>
        </w:rPr>
      </w:pPr>
      <w:bookmarkStart w:id="8" w:name="_GoBack"/>
      <w:bookmarkEnd w:id="8"/>
    </w:p>
    <w:p w14:paraId="7F6961CB" w14:textId="77777777" w:rsidR="00E13C27" w:rsidRDefault="00E13C27" w:rsidP="00E13C27">
      <w:pPr>
        <w:pStyle w:val="Hesber"/>
        <w:rPr>
          <w:rtl/>
        </w:rPr>
      </w:pPr>
    </w:p>
    <w:sectPr w:rsidR="00E13C27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88A69" w14:textId="77777777" w:rsidR="00A942C1" w:rsidRDefault="00A942C1">
      <w:r>
        <w:separator/>
      </w:r>
    </w:p>
  </w:endnote>
  <w:endnote w:type="continuationSeparator" w:id="0">
    <w:p w14:paraId="318F26FB" w14:textId="77777777" w:rsidR="00A942C1" w:rsidRDefault="00A942C1">
      <w:r>
        <w:continuationSeparator/>
      </w:r>
    </w:p>
  </w:endnote>
  <w:endnote w:type="continuationNotice" w:id="1">
    <w:p w14:paraId="6BE48FD5" w14:textId="77777777" w:rsidR="00A942C1" w:rsidRDefault="00A942C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7F6961D6" w14:textId="77777777" w:rsidR="002C3041" w:rsidRDefault="002C30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506C4A">
      <w:rPr>
        <w:rStyle w:val="aa"/>
        <w:noProof/>
        <w:rtl/>
      </w:rPr>
      <w:t>3</w:t>
    </w:r>
    <w:r>
      <w:rPr>
        <w:rStyle w:val="aa"/>
        <w:rtl/>
      </w:rPr>
      <w:fldChar w:fldCharType="end"/>
    </w:r>
  </w:p>
  <w:p w14:paraId="7F6961D8" w14:textId="77777777" w:rsidR="002C3041" w:rsidRDefault="002C3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7B9F2" w14:textId="77777777" w:rsidR="00A942C1" w:rsidRDefault="00A942C1">
      <w:r>
        <w:separator/>
      </w:r>
    </w:p>
  </w:footnote>
  <w:footnote w:type="continuationSeparator" w:id="0">
    <w:p w14:paraId="3DB92342" w14:textId="77777777" w:rsidR="00A942C1" w:rsidRDefault="00A942C1">
      <w:r>
        <w:continuationSeparator/>
      </w:r>
    </w:p>
  </w:footnote>
  <w:footnote w:type="continuationNotice" w:id="1">
    <w:p w14:paraId="16009878" w14:textId="77777777" w:rsidR="00A942C1" w:rsidRDefault="00A942C1"/>
  </w:footnote>
  <w:footnote w:id="2">
    <w:p w14:paraId="248FE2CF" w14:textId="77777777" w:rsidR="00AF77D1" w:rsidRDefault="00AF77D1" w:rsidP="003A4F15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ס"ח </w:t>
      </w:r>
      <w:proofErr w:type="spellStart"/>
      <w:r>
        <w:rPr>
          <w:rFonts w:hint="cs"/>
          <w:rtl/>
        </w:rPr>
        <w:t>התשע"א</w:t>
      </w:r>
      <w:proofErr w:type="spellEnd"/>
      <w:r>
        <w:rPr>
          <w:rFonts w:hint="cs"/>
          <w:rtl/>
        </w:rPr>
        <w:t xml:space="preserve">, עמ' 972. </w:t>
      </w:r>
    </w:p>
  </w:footnote>
  <w:footnote w:id="3">
    <w:p w14:paraId="19678B79" w14:textId="77777777" w:rsidR="00D27F0F" w:rsidRDefault="00D27F0F" w:rsidP="00D95BB3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ס"ח </w:t>
      </w:r>
      <w:proofErr w:type="spellStart"/>
      <w:r>
        <w:rPr>
          <w:rFonts w:hint="cs"/>
          <w:rtl/>
        </w:rPr>
        <w:t>התשנ"ט</w:t>
      </w:r>
      <w:proofErr w:type="spellEnd"/>
      <w:r>
        <w:rPr>
          <w:rFonts w:hint="cs"/>
          <w:rtl/>
        </w:rPr>
        <w:t xml:space="preserve">, עמ' 86. </w:t>
      </w:r>
    </w:p>
  </w:footnote>
  <w:footnote w:id="4">
    <w:p w14:paraId="1418C88F" w14:textId="77777777" w:rsidR="00D27F0F" w:rsidRDefault="00D27F0F" w:rsidP="00D95BB3">
      <w:pPr>
        <w:pStyle w:val="a4"/>
      </w:pPr>
      <w:r>
        <w:rPr>
          <w:rStyle w:val="a5"/>
          <w:rtl/>
        </w:rPr>
        <w:t>*</w:t>
      </w:r>
      <w:r>
        <w:rPr>
          <w:rtl/>
        </w:rPr>
        <w:t xml:space="preserve"> </w:t>
      </w:r>
      <w:r>
        <w:rPr>
          <w:rFonts w:hint="cs"/>
          <w:rtl/>
        </w:rPr>
        <w:t xml:space="preserve">השטח שייכלל בתוספת ייקבע בעת הכנת הצעת החוק לקריאה הראשונה.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3053"/>
    <w:multiLevelType w:val="hybridMultilevel"/>
    <w:tmpl w:val="AE743E38"/>
    <w:lvl w:ilvl="0" w:tplc="9ECA40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21919"/>
    <w:rsid w:val="000336EB"/>
    <w:rsid w:val="00040B78"/>
    <w:rsid w:val="0006083F"/>
    <w:rsid w:val="00063A3E"/>
    <w:rsid w:val="00072CAC"/>
    <w:rsid w:val="0007681A"/>
    <w:rsid w:val="000A542E"/>
    <w:rsid w:val="000C7A09"/>
    <w:rsid w:val="000D7E44"/>
    <w:rsid w:val="000E1B7B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5676C"/>
    <w:rsid w:val="001632E8"/>
    <w:rsid w:val="001A0623"/>
    <w:rsid w:val="001B5462"/>
    <w:rsid w:val="001C23B0"/>
    <w:rsid w:val="001C6235"/>
    <w:rsid w:val="001D7AAF"/>
    <w:rsid w:val="001E17E3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0AFD"/>
    <w:rsid w:val="002728B4"/>
    <w:rsid w:val="0027600C"/>
    <w:rsid w:val="00292712"/>
    <w:rsid w:val="00294DC1"/>
    <w:rsid w:val="002A487D"/>
    <w:rsid w:val="002B2691"/>
    <w:rsid w:val="002C2E29"/>
    <w:rsid w:val="002C3041"/>
    <w:rsid w:val="002D1EE3"/>
    <w:rsid w:val="002F1D80"/>
    <w:rsid w:val="003232A2"/>
    <w:rsid w:val="00325C14"/>
    <w:rsid w:val="00345E5D"/>
    <w:rsid w:val="0036422C"/>
    <w:rsid w:val="003710F6"/>
    <w:rsid w:val="00386E88"/>
    <w:rsid w:val="00396585"/>
    <w:rsid w:val="003A4F15"/>
    <w:rsid w:val="003D6E38"/>
    <w:rsid w:val="003D74A0"/>
    <w:rsid w:val="004033D8"/>
    <w:rsid w:val="004042E3"/>
    <w:rsid w:val="004073F0"/>
    <w:rsid w:val="00412A7D"/>
    <w:rsid w:val="00416B4D"/>
    <w:rsid w:val="00417CFC"/>
    <w:rsid w:val="004436A0"/>
    <w:rsid w:val="0045615F"/>
    <w:rsid w:val="00497087"/>
    <w:rsid w:val="004A06DC"/>
    <w:rsid w:val="004A2DAF"/>
    <w:rsid w:val="004B24ED"/>
    <w:rsid w:val="004B6625"/>
    <w:rsid w:val="004D2D82"/>
    <w:rsid w:val="004D3876"/>
    <w:rsid w:val="004D770B"/>
    <w:rsid w:val="004E0929"/>
    <w:rsid w:val="004E1584"/>
    <w:rsid w:val="004E4552"/>
    <w:rsid w:val="004E6CDF"/>
    <w:rsid w:val="005062C9"/>
    <w:rsid w:val="00506C4A"/>
    <w:rsid w:val="00514D6A"/>
    <w:rsid w:val="00547790"/>
    <w:rsid w:val="00553C9D"/>
    <w:rsid w:val="005618F2"/>
    <w:rsid w:val="00562A66"/>
    <w:rsid w:val="005B064E"/>
    <w:rsid w:val="005D51AE"/>
    <w:rsid w:val="0062674B"/>
    <w:rsid w:val="006363B2"/>
    <w:rsid w:val="00636DAA"/>
    <w:rsid w:val="00644940"/>
    <w:rsid w:val="0066652A"/>
    <w:rsid w:val="006818A9"/>
    <w:rsid w:val="006A2D81"/>
    <w:rsid w:val="006B48BE"/>
    <w:rsid w:val="006C1D0D"/>
    <w:rsid w:val="0070601E"/>
    <w:rsid w:val="00712C72"/>
    <w:rsid w:val="00734153"/>
    <w:rsid w:val="00735FE9"/>
    <w:rsid w:val="00763CAA"/>
    <w:rsid w:val="00765F66"/>
    <w:rsid w:val="007742B2"/>
    <w:rsid w:val="0078664F"/>
    <w:rsid w:val="007A6A75"/>
    <w:rsid w:val="007B2B72"/>
    <w:rsid w:val="007C3FA6"/>
    <w:rsid w:val="007D585A"/>
    <w:rsid w:val="007D5A12"/>
    <w:rsid w:val="007E59F9"/>
    <w:rsid w:val="00810BCD"/>
    <w:rsid w:val="00812C98"/>
    <w:rsid w:val="00814D92"/>
    <w:rsid w:val="00817BCE"/>
    <w:rsid w:val="0083181D"/>
    <w:rsid w:val="00843EB2"/>
    <w:rsid w:val="00865572"/>
    <w:rsid w:val="00874BBC"/>
    <w:rsid w:val="00892135"/>
    <w:rsid w:val="00892D48"/>
    <w:rsid w:val="00895449"/>
    <w:rsid w:val="00897879"/>
    <w:rsid w:val="008A0FDC"/>
    <w:rsid w:val="008A1AC3"/>
    <w:rsid w:val="008A2645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36612"/>
    <w:rsid w:val="00943386"/>
    <w:rsid w:val="009456B6"/>
    <w:rsid w:val="00957589"/>
    <w:rsid w:val="00966D06"/>
    <w:rsid w:val="00982412"/>
    <w:rsid w:val="00983A8D"/>
    <w:rsid w:val="009A0DB8"/>
    <w:rsid w:val="009A7257"/>
    <w:rsid w:val="009D6E0A"/>
    <w:rsid w:val="009E1E33"/>
    <w:rsid w:val="00A14672"/>
    <w:rsid w:val="00A26BD6"/>
    <w:rsid w:val="00A443CF"/>
    <w:rsid w:val="00A6611D"/>
    <w:rsid w:val="00A66410"/>
    <w:rsid w:val="00A82CB7"/>
    <w:rsid w:val="00A942C1"/>
    <w:rsid w:val="00AA2F03"/>
    <w:rsid w:val="00AC36F7"/>
    <w:rsid w:val="00AC63A4"/>
    <w:rsid w:val="00AC6825"/>
    <w:rsid w:val="00AD239E"/>
    <w:rsid w:val="00AF77D1"/>
    <w:rsid w:val="00B10265"/>
    <w:rsid w:val="00B16A99"/>
    <w:rsid w:val="00B21211"/>
    <w:rsid w:val="00B35784"/>
    <w:rsid w:val="00B41D3A"/>
    <w:rsid w:val="00B544F3"/>
    <w:rsid w:val="00B57C28"/>
    <w:rsid w:val="00B70420"/>
    <w:rsid w:val="00B733A7"/>
    <w:rsid w:val="00B75C91"/>
    <w:rsid w:val="00B975AD"/>
    <w:rsid w:val="00BA7AFD"/>
    <w:rsid w:val="00BC45FB"/>
    <w:rsid w:val="00BC6A49"/>
    <w:rsid w:val="00BF148D"/>
    <w:rsid w:val="00C23B1A"/>
    <w:rsid w:val="00C310EB"/>
    <w:rsid w:val="00C43C3F"/>
    <w:rsid w:val="00C9176A"/>
    <w:rsid w:val="00CF1AA2"/>
    <w:rsid w:val="00D17774"/>
    <w:rsid w:val="00D27F0F"/>
    <w:rsid w:val="00D63620"/>
    <w:rsid w:val="00D740EA"/>
    <w:rsid w:val="00D772D1"/>
    <w:rsid w:val="00D8410D"/>
    <w:rsid w:val="00D867D7"/>
    <w:rsid w:val="00D95BB3"/>
    <w:rsid w:val="00DB7060"/>
    <w:rsid w:val="00DC5EA7"/>
    <w:rsid w:val="00DE3153"/>
    <w:rsid w:val="00E06736"/>
    <w:rsid w:val="00E077E6"/>
    <w:rsid w:val="00E13C27"/>
    <w:rsid w:val="00E33BBD"/>
    <w:rsid w:val="00E374F2"/>
    <w:rsid w:val="00E45103"/>
    <w:rsid w:val="00E55A60"/>
    <w:rsid w:val="00E62778"/>
    <w:rsid w:val="00E63D38"/>
    <w:rsid w:val="00E665B9"/>
    <w:rsid w:val="00EA01E6"/>
    <w:rsid w:val="00EA3DE8"/>
    <w:rsid w:val="00EA758F"/>
    <w:rsid w:val="00EB13D4"/>
    <w:rsid w:val="00ED4A6F"/>
    <w:rsid w:val="00EF3A3A"/>
    <w:rsid w:val="00F35D50"/>
    <w:rsid w:val="00F4045C"/>
    <w:rsid w:val="00F628D6"/>
    <w:rsid w:val="00F67051"/>
    <w:rsid w:val="00F86A1E"/>
    <w:rsid w:val="00FA3FAB"/>
    <w:rsid w:val="00FA5E88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E7CC2A52-7C30-40EF-A06A-B08F5CE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83F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06083F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06083F"/>
    <w:rPr>
      <w:sz w:val="36"/>
      <w:szCs w:val="52"/>
    </w:rPr>
  </w:style>
  <w:style w:type="paragraph" w:customStyle="1" w:styleId="Cover3-Haknesset">
    <w:name w:val="Cover 3-Haknesset"/>
    <w:basedOn w:val="Cover1-Reshumot"/>
    <w:rsid w:val="0006083F"/>
    <w:rPr>
      <w:b/>
      <w:bCs/>
      <w:spacing w:val="60"/>
    </w:rPr>
  </w:style>
  <w:style w:type="paragraph" w:customStyle="1" w:styleId="Cover4-Date">
    <w:name w:val="Cover 4-Date"/>
    <w:basedOn w:val="a"/>
    <w:rsid w:val="0006083F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06083F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06083F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06083F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06083F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06083F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06083F"/>
  </w:style>
  <w:style w:type="paragraph" w:customStyle="1" w:styleId="TableBlock">
    <w:name w:val="Table Block"/>
    <w:basedOn w:val="TableText"/>
    <w:rsid w:val="0006083F"/>
    <w:pPr>
      <w:ind w:right="0"/>
      <w:jc w:val="both"/>
    </w:pPr>
  </w:style>
  <w:style w:type="paragraph" w:customStyle="1" w:styleId="TableHead">
    <w:name w:val="Table Head"/>
    <w:basedOn w:val="TableText"/>
    <w:rsid w:val="0006083F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06083F"/>
  </w:style>
  <w:style w:type="paragraph" w:customStyle="1" w:styleId="Hesber">
    <w:name w:val="Hesber"/>
    <w:basedOn w:val="a"/>
    <w:rsid w:val="0006083F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06083F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aliases w:val="Footnote Reference"/>
    <w:basedOn w:val="a0"/>
    <w:semiHidden/>
    <w:rsid w:val="0006083F"/>
    <w:rPr>
      <w:vertAlign w:val="superscript"/>
    </w:rPr>
  </w:style>
  <w:style w:type="paragraph" w:customStyle="1" w:styleId="HesberHeading">
    <w:name w:val="Hesber Heading"/>
    <w:basedOn w:val="Hesber"/>
    <w:rsid w:val="0006083F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06083F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06083F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06083F"/>
    <w:rPr>
      <w:vertAlign w:val="superscript"/>
    </w:rPr>
  </w:style>
  <w:style w:type="paragraph" w:customStyle="1" w:styleId="TableBlockOutdent">
    <w:name w:val="Table BlockOutdent"/>
    <w:basedOn w:val="TableBlock"/>
    <w:rsid w:val="0006083F"/>
    <w:pPr>
      <w:ind w:left="624" w:hanging="624"/>
    </w:pPr>
  </w:style>
  <w:style w:type="paragraph" w:styleId="a7">
    <w:name w:val="header"/>
    <w:basedOn w:val="a"/>
    <w:rsid w:val="0006083F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06083F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06083F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06083F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06083F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paragraph" w:styleId="ad">
    <w:name w:val="Revision"/>
    <w:hidden/>
    <w:uiPriority w:val="99"/>
    <w:semiHidden/>
    <w:rsid w:val="00D27F0F"/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customStyle="1" w:styleId="default">
    <w:name w:val="default"/>
    <w:rsid w:val="00D95BB3"/>
    <w:rPr>
      <w:rFonts w:ascii="Times New Roman" w:hAnsi="Times New Roman" w:cs="Times New Roman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4F11A5-5788-4ECF-8338-B2BD2E72E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4AFE3-9455-419C-8851-785A55F4451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84105A4-6DD3-4197-A2CF-0D3A4913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3</Pages>
  <Words>667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אילת וולברג</cp:lastModifiedBy>
  <cp:revision>50</cp:revision>
  <cp:lastPrinted>2018-02-07T16:22:00Z</cp:lastPrinted>
  <dcterms:created xsi:type="dcterms:W3CDTF">2015-04-20T09:58:00Z</dcterms:created>
  <dcterms:modified xsi:type="dcterms:W3CDTF">2018-02-08T10:53:00Z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2064495</vt:r8>
  </property>
</Properties>
</file>