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2064901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 xml:space="preserve">טלי </w:t>
      </w:r>
      <w:proofErr w:type="spellStart"/>
      <w:r>
        <w:rPr>
          <w:rFonts w:hint="cs"/>
          <w:b/>
          <w:bCs/>
          <w:rtl/>
        </w:rPr>
        <w:t>פלוסקוב</w:t>
      </w:r>
      <w:bookmarkEnd w:id="3"/>
      <w:proofErr w:type="spellEnd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2E064451" w:rsidR="00E13C27" w:rsidRDefault="00904591" w:rsidP="003C5332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פ/5119/20</w:t>
      </w:r>
      <w:bookmarkEnd w:id="6"/>
    </w:p>
    <w:p w14:paraId="7F6961AE" w14:textId="46EDAD1E" w:rsidR="00E13C27" w:rsidRDefault="00A443CF" w:rsidP="009D144D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נכי רדיפות הנאצים (תיקון מס' 20) (תיקון </w:t>
      </w:r>
      <w:r w:rsidR="009D144D">
        <w:rPr>
          <w:rFonts w:hint="eastAsia"/>
          <w:rtl/>
        </w:rPr>
        <w:t>–</w:t>
      </w:r>
      <w:r>
        <w:rPr>
          <w:rFonts w:hint="cs"/>
          <w:rtl/>
        </w:rPr>
        <w:t xml:space="preserve"> הארכת מועד להגשת בקשה להחזרת עודף שכר טרחה), </w:t>
      </w:r>
      <w:proofErr w:type="spellStart"/>
      <w:r>
        <w:rPr>
          <w:rFonts w:hint="cs"/>
          <w:rtl/>
        </w:rPr>
        <w:t>התשע"ח</w:t>
      </w:r>
      <w:proofErr w:type="spellEnd"/>
      <w:r w:rsidR="009D144D">
        <w:rPr>
          <w:rFonts w:hint="eastAsia"/>
          <w:rtl/>
        </w:rPr>
        <w:t>–</w:t>
      </w:r>
      <w:bookmarkStart w:id="8" w:name="_GoBack"/>
      <w:bookmarkEnd w:id="8"/>
      <w:r>
        <w:rPr>
          <w:rFonts w:hint="cs"/>
          <w:rtl/>
        </w:rPr>
        <w:t>2018</w:t>
      </w:r>
      <w:bookmarkEnd w:id="7"/>
    </w:p>
    <w:tbl>
      <w:tblPr>
        <w:bidiVisual/>
        <w:tblW w:w="5001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629"/>
        <w:gridCol w:w="7138"/>
      </w:tblGrid>
      <w:tr w:rsidR="00D62320" w14:paraId="65F3692F" w14:textId="77777777" w:rsidTr="00D62320">
        <w:trPr>
          <w:cantSplit/>
        </w:trPr>
        <w:tc>
          <w:tcPr>
            <w:tcW w:w="972" w:type="pct"/>
          </w:tcPr>
          <w:p w14:paraId="4AD66D26" w14:textId="77777777" w:rsidR="00D62320" w:rsidRPr="001547A7" w:rsidRDefault="00D62320" w:rsidP="0076420C">
            <w:pPr>
              <w:pStyle w:val="TableSideHeading"/>
              <w:keepLines w:val="0"/>
              <w:jc w:val="both"/>
            </w:pPr>
            <w:r>
              <w:rPr>
                <w:rFonts w:hint="cs"/>
                <w:rtl/>
              </w:rPr>
              <w:t>תיקון סעיף 8</w:t>
            </w:r>
          </w:p>
        </w:tc>
        <w:tc>
          <w:tcPr>
            <w:tcW w:w="326" w:type="pct"/>
          </w:tcPr>
          <w:p w14:paraId="1F2636A1" w14:textId="77777777" w:rsidR="00D62320" w:rsidRDefault="00D62320" w:rsidP="0076420C">
            <w:pPr>
              <w:pStyle w:val="TableText"/>
              <w:keepLines w:val="0"/>
              <w:jc w:val="both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702" w:type="pct"/>
          </w:tcPr>
          <w:p w14:paraId="180A8094" w14:textId="782B14FB" w:rsidR="00D62320" w:rsidRPr="006C6712" w:rsidRDefault="00D62320" w:rsidP="003C5332">
            <w:pPr>
              <w:pStyle w:val="TableBlock"/>
            </w:pPr>
            <w:r w:rsidRPr="006C6712">
              <w:rPr>
                <w:rFonts w:hint="cs"/>
                <w:rtl/>
              </w:rPr>
              <w:t xml:space="preserve">בחוק נכי רדיפות הנאצים (תיקון מס' 20), </w:t>
            </w:r>
            <w:proofErr w:type="spellStart"/>
            <w:r w:rsidRPr="006C6712">
              <w:rPr>
                <w:rFonts w:hint="cs"/>
                <w:rtl/>
              </w:rPr>
              <w:t>התשע"ה</w:t>
            </w:r>
            <w:proofErr w:type="spellEnd"/>
            <w:r w:rsidRPr="006C6712">
              <w:rPr>
                <w:rFonts w:hint="eastAsia"/>
                <w:rtl/>
              </w:rPr>
              <w:t>–</w:t>
            </w:r>
            <w:r w:rsidRPr="006C6712">
              <w:rPr>
                <w:rFonts w:hint="cs"/>
                <w:rtl/>
              </w:rPr>
              <w:t>2014</w:t>
            </w:r>
            <w:r w:rsidRPr="006C6712">
              <w:rPr>
                <w:vertAlign w:val="superscript"/>
                <w:rtl/>
              </w:rPr>
              <w:footnoteReference w:id="2"/>
            </w:r>
            <w:r>
              <w:rPr>
                <w:rFonts w:hint="cs"/>
                <w:rtl/>
              </w:rPr>
              <w:t>, בסעיף 8(א)</w:t>
            </w:r>
            <w:r w:rsidRPr="006C6712">
              <w:rPr>
                <w:rFonts w:hint="cs"/>
                <w:rtl/>
              </w:rPr>
              <w:t>(2), במ</w:t>
            </w:r>
            <w:r>
              <w:rPr>
                <w:rFonts w:hint="cs"/>
                <w:rtl/>
              </w:rPr>
              <w:t>קום "שנה" יבוא "שש שנים", ובסופו</w:t>
            </w:r>
            <w:r w:rsidRPr="006C6712">
              <w:rPr>
                <w:rFonts w:hint="cs"/>
                <w:rtl/>
              </w:rPr>
              <w:t xml:space="preserve"> יבוא "לעניין בקשה להחזרת עודף שכר הטרחה שהוגשה מיום ג' בטבת </w:t>
            </w:r>
            <w:proofErr w:type="spellStart"/>
            <w:r w:rsidRPr="006C6712">
              <w:rPr>
                <w:rFonts w:hint="cs"/>
                <w:rtl/>
              </w:rPr>
              <w:t>התשע"ז</w:t>
            </w:r>
            <w:proofErr w:type="spellEnd"/>
            <w:r w:rsidRPr="006C6712">
              <w:rPr>
                <w:rFonts w:hint="cs"/>
                <w:rtl/>
              </w:rPr>
              <w:t xml:space="preserve"> (1 בינואר 2017) ועד יום תחילתו של חוק נכי רדיפות הנאצים </w:t>
            </w:r>
            <w:r w:rsidRPr="006C6712">
              <w:rPr>
                <w:rtl/>
              </w:rPr>
              <w:t xml:space="preserve">(תיקון </w:t>
            </w:r>
            <w:r w:rsidRPr="006C6712">
              <w:rPr>
                <w:rFonts w:hint="eastAsia"/>
                <w:rtl/>
              </w:rPr>
              <w:t>מס</w:t>
            </w:r>
            <w:r w:rsidRPr="006C6712">
              <w:rPr>
                <w:rtl/>
              </w:rPr>
              <w:t>' 20)</w:t>
            </w:r>
            <w:r w:rsidRPr="006C6712">
              <w:rPr>
                <w:rFonts w:hint="cs"/>
                <w:rtl/>
              </w:rPr>
              <w:t xml:space="preserve"> (תיקון </w:t>
            </w:r>
            <w:r w:rsidRPr="006C6712">
              <w:rPr>
                <w:rFonts w:hint="eastAsia"/>
                <w:rtl/>
              </w:rPr>
              <w:t>–</w:t>
            </w:r>
            <w:r w:rsidRPr="006C6712">
              <w:rPr>
                <w:rFonts w:hint="cs"/>
                <w:rtl/>
              </w:rPr>
              <w:t xml:space="preserve"> הארכת מועד להגשת בקשה להחזרת עודף שכר טרחה), </w:t>
            </w:r>
            <w:proofErr w:type="spellStart"/>
            <w:r w:rsidRPr="006C6712">
              <w:rPr>
                <w:rFonts w:hint="cs"/>
                <w:rtl/>
              </w:rPr>
              <w:t>התשע"ח</w:t>
            </w:r>
            <w:proofErr w:type="spellEnd"/>
            <w:r w:rsidRPr="006C6712">
              <w:rPr>
                <w:rFonts w:hint="eastAsia"/>
                <w:rtl/>
              </w:rPr>
              <w:t>–</w:t>
            </w:r>
            <w:r w:rsidRPr="006C6712">
              <w:rPr>
                <w:rFonts w:hint="cs"/>
                <w:rtl/>
              </w:rPr>
              <w:t>201</w:t>
            </w:r>
            <w:r w:rsidR="008E13B8">
              <w:rPr>
                <w:rFonts w:hint="cs"/>
                <w:rtl/>
              </w:rPr>
              <w:t>8</w:t>
            </w:r>
            <w:r w:rsidRPr="006C6712">
              <w:rPr>
                <w:rFonts w:hint="cs"/>
                <w:rtl/>
              </w:rPr>
              <w:t>, ימנו את 60 הימים האמורים בפסקה (3) מיום התחילה של החוק האמור".</w:t>
            </w:r>
          </w:p>
        </w:tc>
      </w:tr>
      <w:tr w:rsidR="00D62320" w14:paraId="1D7FD195" w14:textId="77777777" w:rsidTr="00D62320">
        <w:trPr>
          <w:cantSplit/>
        </w:trPr>
        <w:tc>
          <w:tcPr>
            <w:tcW w:w="972" w:type="pct"/>
          </w:tcPr>
          <w:p w14:paraId="46170B7D" w14:textId="77777777" w:rsidR="00D62320" w:rsidRDefault="00D62320" w:rsidP="0076420C">
            <w:pPr>
              <w:pStyle w:val="TableSideHeading"/>
              <w:keepLines w:val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תחילה</w:t>
            </w:r>
          </w:p>
        </w:tc>
        <w:tc>
          <w:tcPr>
            <w:tcW w:w="326" w:type="pct"/>
          </w:tcPr>
          <w:p w14:paraId="7D2084F6" w14:textId="77777777" w:rsidR="00D62320" w:rsidRDefault="00D62320" w:rsidP="0076420C">
            <w:pPr>
              <w:pStyle w:val="TableText"/>
              <w:keepLines w:val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702" w:type="pct"/>
          </w:tcPr>
          <w:p w14:paraId="6399C74D" w14:textId="77777777" w:rsidR="00D62320" w:rsidRPr="006C6712" w:rsidRDefault="00D62320" w:rsidP="0076420C">
            <w:pPr>
              <w:pStyle w:val="TableBlock"/>
              <w:rPr>
                <w:rtl/>
              </w:rPr>
            </w:pPr>
            <w:r w:rsidRPr="006C6712">
              <w:rPr>
                <w:rFonts w:hint="cs"/>
                <w:rtl/>
              </w:rPr>
              <w:t xml:space="preserve">תחילתו של חוק זה ביום ג' בטבת </w:t>
            </w:r>
            <w:proofErr w:type="spellStart"/>
            <w:r w:rsidRPr="006C6712">
              <w:rPr>
                <w:rFonts w:hint="cs"/>
                <w:rtl/>
              </w:rPr>
              <w:t>התשע"ז</w:t>
            </w:r>
            <w:proofErr w:type="spellEnd"/>
            <w:r w:rsidRPr="006C6712">
              <w:rPr>
                <w:rFonts w:hint="cs"/>
                <w:rtl/>
              </w:rPr>
              <w:t xml:space="preserve"> (1 בינואר 2017).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5257520" w14:textId="38B76C00" w:rsidR="00D62320" w:rsidRPr="001549DC" w:rsidRDefault="00D62320" w:rsidP="003C5332">
      <w:pPr>
        <w:pStyle w:val="Hesber"/>
        <w:rPr>
          <w:rtl/>
        </w:rPr>
      </w:pPr>
      <w:r w:rsidRPr="001549DC">
        <w:rPr>
          <w:rFonts w:hint="cs"/>
          <w:rtl/>
        </w:rPr>
        <w:t xml:space="preserve">חוק נכי רדיפות הנאצים (תיקון מס' </w:t>
      </w:r>
      <w:r>
        <w:rPr>
          <w:rFonts w:hint="cs"/>
          <w:rtl/>
        </w:rPr>
        <w:t>20</w:t>
      </w:r>
      <w:r w:rsidRPr="001549DC">
        <w:rPr>
          <w:rFonts w:hint="cs"/>
          <w:rtl/>
        </w:rPr>
        <w:t xml:space="preserve">), </w:t>
      </w:r>
      <w:proofErr w:type="spellStart"/>
      <w:r w:rsidRPr="001549DC">
        <w:rPr>
          <w:rFonts w:hint="cs"/>
          <w:rtl/>
        </w:rPr>
        <w:t>התשע"</w:t>
      </w:r>
      <w:r>
        <w:rPr>
          <w:rFonts w:hint="cs"/>
          <w:rtl/>
        </w:rPr>
        <w:t>ה</w:t>
      </w:r>
      <w:proofErr w:type="spellEnd"/>
      <w:r>
        <w:rPr>
          <w:rtl/>
        </w:rPr>
        <w:t>–</w:t>
      </w:r>
      <w:r w:rsidRPr="001549DC">
        <w:rPr>
          <w:rFonts w:hint="cs"/>
          <w:rtl/>
        </w:rPr>
        <w:t>20</w:t>
      </w:r>
      <w:r>
        <w:rPr>
          <w:rFonts w:hint="cs"/>
          <w:rtl/>
        </w:rPr>
        <w:t xml:space="preserve">14 (להלן </w:t>
      </w:r>
      <w:r>
        <w:rPr>
          <w:rtl/>
        </w:rPr>
        <w:t>–</w:t>
      </w:r>
      <w:r>
        <w:rPr>
          <w:rFonts w:hint="cs"/>
          <w:rtl/>
        </w:rPr>
        <w:t xml:space="preserve"> תיקון מס' 20), </w:t>
      </w:r>
      <w:r w:rsidR="003C5332">
        <w:rPr>
          <w:rFonts w:hint="cs"/>
          <w:rtl/>
        </w:rPr>
        <w:t>ש</w:t>
      </w:r>
      <w:r w:rsidRPr="001549DC">
        <w:rPr>
          <w:rFonts w:hint="cs"/>
          <w:rtl/>
        </w:rPr>
        <w:t xml:space="preserve">נכנס לתוקפו ביום </w:t>
      </w:r>
      <w:r>
        <w:rPr>
          <w:rFonts w:hint="cs"/>
          <w:rtl/>
        </w:rPr>
        <w:t>31.12.2014</w:t>
      </w:r>
      <w:r w:rsidRPr="001549DC">
        <w:rPr>
          <w:rFonts w:hint="cs"/>
          <w:rtl/>
        </w:rPr>
        <w:t xml:space="preserve">, קבע כי ניצולי שואה </w:t>
      </w:r>
      <w:r>
        <w:rPr>
          <w:rFonts w:hint="cs"/>
          <w:rtl/>
        </w:rPr>
        <w:t>יהיו רשאים להגיש</w:t>
      </w:r>
      <w:r w:rsidRPr="001549DC">
        <w:rPr>
          <w:rFonts w:hint="cs"/>
          <w:rtl/>
        </w:rPr>
        <w:t xml:space="preserve"> תביעה להחזרת עודף שכר טרחה</w:t>
      </w:r>
      <w:r>
        <w:rPr>
          <w:rFonts w:hint="cs"/>
          <w:rtl/>
        </w:rPr>
        <w:t xml:space="preserve"> שנגבה מהם על ידי עורכי דינם שטיפלו בתביעותיהם לתגמולים.</w:t>
      </w:r>
      <w:r w:rsidRPr="001549DC">
        <w:rPr>
          <w:rFonts w:hint="cs"/>
          <w:rtl/>
        </w:rPr>
        <w:t xml:space="preserve"> חוק נכי רדיפות הנאצים (תיקון מס' </w:t>
      </w:r>
      <w:r>
        <w:rPr>
          <w:rFonts w:hint="cs"/>
          <w:rtl/>
        </w:rPr>
        <w:t>21</w:t>
      </w:r>
      <w:r w:rsidRPr="001549DC">
        <w:rPr>
          <w:rFonts w:hint="cs"/>
          <w:rtl/>
        </w:rPr>
        <w:t xml:space="preserve">), </w:t>
      </w:r>
      <w:proofErr w:type="spellStart"/>
      <w:r w:rsidRPr="001549DC">
        <w:rPr>
          <w:rFonts w:hint="cs"/>
          <w:rtl/>
        </w:rPr>
        <w:t>התשע"</w:t>
      </w:r>
      <w:r>
        <w:rPr>
          <w:rFonts w:hint="cs"/>
          <w:rtl/>
        </w:rPr>
        <w:t>ו</w:t>
      </w:r>
      <w:proofErr w:type="spellEnd"/>
      <w:r>
        <w:rPr>
          <w:rFonts w:hint="eastAsia"/>
          <w:rtl/>
        </w:rPr>
        <w:t>–</w:t>
      </w:r>
      <w:r>
        <w:rPr>
          <w:rFonts w:hint="cs"/>
          <w:rtl/>
        </w:rPr>
        <w:t xml:space="preserve">2016, האריך את התקופה להגשת התביעה כאמור עד לתאריך </w:t>
      </w:r>
      <w:r w:rsidRPr="001549DC">
        <w:rPr>
          <w:rFonts w:hint="cs"/>
          <w:rtl/>
        </w:rPr>
        <w:t>3</w:t>
      </w:r>
      <w:r>
        <w:rPr>
          <w:rFonts w:hint="cs"/>
          <w:rtl/>
        </w:rPr>
        <w:t>1</w:t>
      </w:r>
      <w:r w:rsidRPr="001549DC">
        <w:rPr>
          <w:rFonts w:hint="cs"/>
          <w:rtl/>
        </w:rPr>
        <w:t>.12.201</w:t>
      </w:r>
      <w:r>
        <w:rPr>
          <w:rFonts w:hint="cs"/>
          <w:rtl/>
        </w:rPr>
        <w:t>6</w:t>
      </w:r>
      <w:r w:rsidRPr="001549DC">
        <w:rPr>
          <w:rFonts w:hint="cs"/>
          <w:rtl/>
        </w:rPr>
        <w:t xml:space="preserve">. </w:t>
      </w:r>
    </w:p>
    <w:p w14:paraId="390B3D8B" w14:textId="74499F19" w:rsidR="00D62320" w:rsidRPr="001549DC" w:rsidRDefault="00D62320" w:rsidP="00D62320">
      <w:pPr>
        <w:pStyle w:val="Hesber"/>
        <w:rPr>
          <w:rtl/>
        </w:rPr>
      </w:pPr>
      <w:r w:rsidRPr="001549DC">
        <w:rPr>
          <w:rFonts w:hint="cs"/>
          <w:rtl/>
        </w:rPr>
        <w:t xml:space="preserve">על פי אומדן מספר ניצולי השואה, </w:t>
      </w:r>
      <w:r>
        <w:rPr>
          <w:rFonts w:hint="cs"/>
          <w:rtl/>
        </w:rPr>
        <w:t xml:space="preserve">רבים מהם </w:t>
      </w:r>
      <w:r w:rsidRPr="001549DC">
        <w:rPr>
          <w:rFonts w:hint="cs"/>
          <w:rtl/>
        </w:rPr>
        <w:t>טרם מ</w:t>
      </w:r>
      <w:r>
        <w:rPr>
          <w:rFonts w:hint="cs"/>
          <w:rtl/>
        </w:rPr>
        <w:t xml:space="preserve">ימשו את אפשרותם למצות את </w:t>
      </w:r>
      <w:r w:rsidRPr="001549DC">
        <w:rPr>
          <w:rFonts w:hint="cs"/>
          <w:rtl/>
        </w:rPr>
        <w:t xml:space="preserve">זכויותיהם להשבת שכר </w:t>
      </w:r>
      <w:r w:rsidR="00D00866">
        <w:rPr>
          <w:rFonts w:hint="cs"/>
          <w:rtl/>
        </w:rPr>
        <w:t>ה</w:t>
      </w:r>
      <w:r w:rsidRPr="001549DC">
        <w:rPr>
          <w:rFonts w:hint="cs"/>
          <w:rtl/>
        </w:rPr>
        <w:t xml:space="preserve">טרחה </w:t>
      </w:r>
      <w:r w:rsidR="00D00866">
        <w:rPr>
          <w:rFonts w:hint="cs"/>
          <w:rtl/>
        </w:rPr>
        <w:t>ה</w:t>
      </w:r>
      <w:r w:rsidRPr="001549DC">
        <w:rPr>
          <w:rFonts w:hint="cs"/>
          <w:rtl/>
        </w:rPr>
        <w:t>עודף. מדובר בניצולי שואה מבוגרים המתקשים בניהול הליכים בירוקרטיים</w:t>
      </w:r>
      <w:r>
        <w:rPr>
          <w:rFonts w:hint="cs"/>
          <w:rtl/>
        </w:rPr>
        <w:t>,</w:t>
      </w:r>
      <w:r w:rsidRPr="001549DC">
        <w:rPr>
          <w:rFonts w:hint="cs"/>
          <w:rtl/>
        </w:rPr>
        <w:t xml:space="preserve"> </w:t>
      </w:r>
      <w:r>
        <w:rPr>
          <w:rFonts w:hint="cs"/>
          <w:rtl/>
        </w:rPr>
        <w:t>בייחוד כ</w:t>
      </w:r>
      <w:r w:rsidRPr="001549DC">
        <w:rPr>
          <w:rFonts w:hint="cs"/>
          <w:rtl/>
        </w:rPr>
        <w:t xml:space="preserve">נגד גורמים אשר גבו </w:t>
      </w:r>
      <w:r>
        <w:rPr>
          <w:rFonts w:hint="cs"/>
          <w:rtl/>
        </w:rPr>
        <w:t xml:space="preserve">מהם </w:t>
      </w:r>
      <w:r w:rsidRPr="001549DC">
        <w:rPr>
          <w:rFonts w:hint="cs"/>
          <w:rtl/>
        </w:rPr>
        <w:t>שכר טרחה ביתר.</w:t>
      </w:r>
    </w:p>
    <w:p w14:paraId="7F44CD24" w14:textId="77777777" w:rsidR="00D62320" w:rsidRDefault="00D62320" w:rsidP="00D62320">
      <w:pPr>
        <w:pStyle w:val="Hesber"/>
        <w:rPr>
          <w:rtl/>
        </w:rPr>
      </w:pPr>
      <w:r w:rsidRPr="001549DC">
        <w:rPr>
          <w:rFonts w:hint="cs"/>
          <w:rtl/>
        </w:rPr>
        <w:t xml:space="preserve">קיים חשש מהותי כי ניצולי שואה רבים </w:t>
      </w:r>
      <w:r>
        <w:rPr>
          <w:rFonts w:hint="cs"/>
          <w:rtl/>
        </w:rPr>
        <w:t>ה</w:t>
      </w:r>
      <w:r w:rsidRPr="001549DC">
        <w:rPr>
          <w:rFonts w:hint="cs"/>
          <w:rtl/>
        </w:rPr>
        <w:t>חמיצו את הזדמנות</w:t>
      </w:r>
      <w:r>
        <w:rPr>
          <w:rFonts w:hint="cs"/>
          <w:rtl/>
        </w:rPr>
        <w:t>ם</w:t>
      </w:r>
      <w:r w:rsidRPr="001549DC">
        <w:rPr>
          <w:rFonts w:hint="cs"/>
          <w:rtl/>
        </w:rPr>
        <w:t xml:space="preserve"> למצות </w:t>
      </w:r>
      <w:r>
        <w:rPr>
          <w:rFonts w:hint="cs"/>
          <w:rtl/>
        </w:rPr>
        <w:t xml:space="preserve">את </w:t>
      </w:r>
      <w:r w:rsidRPr="001549DC">
        <w:rPr>
          <w:rFonts w:hint="cs"/>
          <w:rtl/>
        </w:rPr>
        <w:t>זכותם להחזר שכר</w:t>
      </w:r>
      <w:r>
        <w:rPr>
          <w:rFonts w:hint="cs"/>
          <w:rtl/>
        </w:rPr>
        <w:t xml:space="preserve"> טרחה</w:t>
      </w:r>
      <w:r w:rsidRPr="001549DC">
        <w:rPr>
          <w:rFonts w:hint="cs"/>
          <w:rtl/>
        </w:rPr>
        <w:t xml:space="preserve"> עודף</w:t>
      </w:r>
      <w:r>
        <w:rPr>
          <w:rFonts w:hint="cs"/>
          <w:rtl/>
        </w:rPr>
        <w:t>, ו</w:t>
      </w:r>
      <w:r w:rsidRPr="001549DC">
        <w:rPr>
          <w:rFonts w:hint="cs"/>
          <w:rtl/>
        </w:rPr>
        <w:t xml:space="preserve">משכך מוצע להאריך את </w:t>
      </w:r>
      <w:r>
        <w:rPr>
          <w:rFonts w:hint="cs"/>
          <w:rtl/>
        </w:rPr>
        <w:t>המועד האמור</w:t>
      </w:r>
      <w:r w:rsidRPr="001549DC">
        <w:rPr>
          <w:rFonts w:hint="cs"/>
          <w:rtl/>
        </w:rPr>
        <w:t xml:space="preserve"> עד ליום 3</w:t>
      </w:r>
      <w:r>
        <w:rPr>
          <w:rFonts w:hint="cs"/>
          <w:rtl/>
        </w:rPr>
        <w:t>1</w:t>
      </w:r>
      <w:r w:rsidRPr="001549DC">
        <w:rPr>
          <w:rFonts w:hint="cs"/>
          <w:rtl/>
        </w:rPr>
        <w:t>.12.20</w:t>
      </w:r>
      <w:r>
        <w:rPr>
          <w:rFonts w:hint="cs"/>
          <w:rtl/>
        </w:rPr>
        <w:t>20</w:t>
      </w:r>
      <w:r w:rsidRPr="001549DC">
        <w:rPr>
          <w:rFonts w:hint="cs"/>
          <w:rtl/>
        </w:rPr>
        <w:t xml:space="preserve">. </w:t>
      </w:r>
    </w:p>
    <w:p w14:paraId="47697FBD" w14:textId="2A938EC6" w:rsidR="00D00866" w:rsidRDefault="00D00866" w:rsidP="00D62320">
      <w:pPr>
        <w:pStyle w:val="Hesber"/>
        <w:rPr>
          <w:rtl/>
        </w:rPr>
      </w:pPr>
      <w:r>
        <w:rPr>
          <w:rFonts w:hint="cs"/>
          <w:rtl/>
        </w:rPr>
        <w:t>הצעת חוק זהה הונחה על שולחן הכנסת העשרים על ידי חבר הכנסת אלעזר שטרן וקבוצת חברי הכנסת (פ/4810/20).</w:t>
      </w:r>
    </w:p>
    <w:p w14:paraId="6413C9F1" w14:textId="77777777" w:rsidR="003C5332" w:rsidRPr="00D73212" w:rsidRDefault="003C5332" w:rsidP="003C5332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6637035B" w14:textId="77777777" w:rsidR="003C5332" w:rsidRPr="00D73212" w:rsidRDefault="003C5332" w:rsidP="003C5332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6788ADF8" w14:textId="77777777" w:rsidR="003C5332" w:rsidRPr="00D73212" w:rsidRDefault="003C5332" w:rsidP="003C5332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0187033A" w14:textId="77777777" w:rsidR="003C5332" w:rsidRPr="00317312" w:rsidRDefault="003C5332" w:rsidP="003C5332">
      <w:pPr>
        <w:pStyle w:val="Hesber"/>
      </w:pPr>
      <w:r>
        <w:rPr>
          <w:rFonts w:hint="cs"/>
          <w:color w:val="auto"/>
          <w:rtl/>
          <w:lang w:eastAsia="en-US"/>
        </w:rPr>
        <w:t>כ"ז בשבט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12.2.18</w:t>
      </w:r>
    </w:p>
    <w:sectPr w:rsidR="003C5332" w:rsidRPr="00317312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3C5332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B97F73A" w14:textId="77777777" w:rsidR="00D62320" w:rsidRDefault="00D62320" w:rsidP="00D62320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, עמ' 140.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C5332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13B8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144D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00866"/>
    <w:rsid w:val="00D17774"/>
    <w:rsid w:val="00D62320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locked/>
    <w:rsid w:val="00D62320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E2F76-DA72-4B47-A4AC-8C7A5437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CA650-2C41-4F66-935F-14F2A536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1392</Characters>
  <Application>Microsoft Office Word</Application>
  <DocSecurity>0</DocSecurity>
  <Lines>107</Lines>
  <Paragraphs>55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7</cp:revision>
  <cp:lastPrinted>2018-02-11T13:34:00Z</cp:lastPrinted>
  <dcterms:created xsi:type="dcterms:W3CDTF">2015-04-20T09:58:00Z</dcterms:created>
  <dcterms:modified xsi:type="dcterms:W3CDTF">2018-02-11T13:34:00Z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2064901</vt:r8>
  </property>
</Properties>
</file>