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4C940" w14:textId="77777777" w:rsidR="007D12B5" w:rsidRPr="0000131B" w:rsidRDefault="007D12B5" w:rsidP="007D12B5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2064532</w:t>
      </w:r>
      <w:bookmarkEnd w:id="0"/>
    </w:p>
    <w:p w14:paraId="7A198765" w14:textId="77777777" w:rsidR="007D12B5" w:rsidRPr="00DB7060" w:rsidRDefault="007D12B5" w:rsidP="007D12B5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14:paraId="406C244E" w14:textId="77777777" w:rsidR="007D12B5" w:rsidRPr="00F67051" w:rsidRDefault="007D12B5" w:rsidP="007D12B5">
      <w:pPr>
        <w:rPr>
          <w:rFonts w:cs="David"/>
          <w:b/>
          <w:bCs/>
          <w:sz w:val="26"/>
          <w:szCs w:val="26"/>
          <w:rtl/>
        </w:rPr>
      </w:pPr>
    </w:p>
    <w:p w14:paraId="0FB98C7F" w14:textId="77777777" w:rsidR="007D12B5" w:rsidRDefault="007D12B5" w:rsidP="007D12B5">
      <w:pPr>
        <w:pStyle w:val="David"/>
        <w:spacing w:line="360" w:lineRule="auto"/>
        <w:ind w:left="3544"/>
        <w:rPr>
          <w:b/>
          <w:bCs/>
          <w:rtl/>
        </w:rPr>
      </w:pPr>
      <w:bookmarkStart w:id="2" w:name="LGS_Initiators_List"/>
      <w:r>
        <w:rPr>
          <w:b/>
          <w:bCs/>
          <w:rtl/>
        </w:rPr>
        <w:t>יוזם:</w:t>
      </w:r>
      <w:r>
        <w:tab/>
      </w:r>
      <w:r>
        <w:rPr>
          <w:b/>
          <w:bCs/>
          <w:rtl/>
        </w:rPr>
        <w:t xml:space="preserve">      חבר הכנסת</w:t>
      </w:r>
      <w:bookmarkEnd w:id="2"/>
      <w:r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אחמד טיבי</w:t>
      </w:r>
      <w:bookmarkEnd w:id="3"/>
    </w:p>
    <w:p w14:paraId="5C4F948A" w14:textId="77777777" w:rsidR="007D12B5" w:rsidRPr="00CF1AA2" w:rsidRDefault="007D12B5" w:rsidP="007D12B5">
      <w:pPr>
        <w:pStyle w:val="David"/>
        <w:spacing w:before="0" w:line="360" w:lineRule="auto"/>
        <w:ind w:left="3544"/>
        <w:rPr>
          <w:b/>
          <w:bCs/>
          <w:sz w:val="16"/>
          <w:szCs w:val="16"/>
          <w:rtl/>
        </w:rPr>
      </w:pPr>
      <w:bookmarkStart w:id="4" w:name="LGS_Join_List"/>
      <w:r>
        <w:rPr>
          <w:rtl/>
        </w:rPr>
        <w:t xml:space="preserve"> </w:t>
      </w:r>
      <w:bookmarkEnd w:id="4"/>
      <w:r w:rsidRPr="00CF1AA2">
        <w:rPr>
          <w:rFonts w:hint="cs"/>
          <w:rtl/>
        </w:rPr>
        <w:tab/>
      </w:r>
      <w:bookmarkStart w:id="5" w:name="LGS_PM_NamesJoin"/>
      <w:r>
        <w:rPr>
          <w:rFonts w:hint="cs"/>
          <w:rtl/>
        </w:rPr>
        <w:t xml:space="preserve"> </w:t>
      </w:r>
      <w:bookmarkEnd w:id="5"/>
    </w:p>
    <w:p w14:paraId="74025902" w14:textId="77777777" w:rsidR="007D12B5" w:rsidRPr="00904591" w:rsidRDefault="007D12B5" w:rsidP="007D12B5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______________________________________________</w:t>
      </w:r>
      <w:r w:rsidRPr="00E06736">
        <w:tab/>
      </w:r>
      <w:r w:rsidRPr="00E06736">
        <w:rPr>
          <w:rFonts w:hint="cs"/>
          <w:rtl/>
        </w:rPr>
        <w:tab/>
      </w:r>
      <w:r w:rsidRPr="00E06736">
        <w:rPr>
          <w:rFonts w:hint="cs"/>
          <w:rtl/>
        </w:rPr>
        <w:tab/>
      </w:r>
      <w:r w:rsidRPr="00E06736">
        <w:rPr>
          <w:rFonts w:hint="cs"/>
          <w:rtl/>
        </w:rPr>
        <w:tab/>
      </w:r>
      <w:r>
        <w:t xml:space="preserve">           </w:t>
      </w:r>
    </w:p>
    <w:p w14:paraId="1D5C015B" w14:textId="50CD9903" w:rsidR="007D12B5" w:rsidRDefault="007D12B5" w:rsidP="00891159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 </w:t>
      </w:r>
      <w:bookmarkStart w:id="6" w:name="Private_Number"/>
      <w:r>
        <w:rPr>
          <w:rFonts w:hint="cs"/>
          <w:rtl/>
        </w:rPr>
        <w:t>פ/5081/20</w:t>
      </w:r>
      <w:bookmarkEnd w:id="6"/>
    </w:p>
    <w:p w14:paraId="17B7E631" w14:textId="5A1E1F55" w:rsidR="007D12B5" w:rsidRPr="00B95323" w:rsidRDefault="007D12B5" w:rsidP="00891159">
      <w:pPr>
        <w:pStyle w:val="HeadHatzaotHok"/>
        <w:rPr>
          <w:rtl/>
        </w:rPr>
      </w:pPr>
      <w:bookmarkStart w:id="7" w:name="LGS_Subject"/>
      <w:r>
        <w:rPr>
          <w:rFonts w:hint="cs"/>
          <w:rtl/>
        </w:rPr>
        <w:t xml:space="preserve">הצעת חוק ההוצאה לפועל (תיקון </w:t>
      </w:r>
      <w:r>
        <w:rPr>
          <w:rFonts w:hint="eastAsia"/>
          <w:rtl/>
        </w:rPr>
        <w:t>–</w:t>
      </w:r>
      <w:r>
        <w:rPr>
          <w:rFonts w:hint="cs"/>
          <w:rtl/>
        </w:rPr>
        <w:t xml:space="preserve"> </w:t>
      </w:r>
      <w:r w:rsidR="00A3025A">
        <w:rPr>
          <w:rFonts w:hint="cs"/>
          <w:rtl/>
        </w:rPr>
        <w:t xml:space="preserve">חייב </w:t>
      </w:r>
      <w:r>
        <w:rPr>
          <w:rFonts w:hint="cs"/>
          <w:rtl/>
        </w:rPr>
        <w:t xml:space="preserve">משלם), </w:t>
      </w:r>
      <w:bookmarkEnd w:id="7"/>
      <w:r>
        <w:rPr>
          <w:rFonts w:hint="cs"/>
          <w:rtl/>
        </w:rPr>
        <w:t>התשע"ח</w:t>
      </w:r>
      <w:r>
        <w:rPr>
          <w:rFonts w:hint="eastAsia"/>
          <w:rtl/>
        </w:rPr>
        <w:t>–</w:t>
      </w:r>
      <w:r>
        <w:rPr>
          <w:rFonts w:hint="cs"/>
          <w:rtl/>
        </w:rPr>
        <w:t>2018</w:t>
      </w:r>
    </w:p>
    <w:tbl>
      <w:tblPr>
        <w:bidiVisual/>
        <w:tblW w:w="9638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624"/>
        <w:gridCol w:w="624"/>
        <w:gridCol w:w="6520"/>
      </w:tblGrid>
      <w:tr w:rsidR="007D12B5" w:rsidRPr="00B95323" w14:paraId="7698250B" w14:textId="77777777" w:rsidTr="00CD4945">
        <w:trPr>
          <w:cantSplit/>
        </w:trPr>
        <w:tc>
          <w:tcPr>
            <w:tcW w:w="1870" w:type="dxa"/>
          </w:tcPr>
          <w:p w14:paraId="0506A053" w14:textId="77777777" w:rsidR="007D12B5" w:rsidRPr="00B95323" w:rsidRDefault="007D12B5" w:rsidP="00437795">
            <w:pPr>
              <w:pStyle w:val="TableSideHeading"/>
              <w:ind w:right="0"/>
              <w:rPr>
                <w:sz w:val="26"/>
                <w:rtl/>
              </w:rPr>
            </w:pPr>
            <w:r w:rsidRPr="00AB0432">
              <w:rPr>
                <w:rFonts w:hint="cs"/>
                <w:rtl/>
              </w:rPr>
              <w:t>תיקון סעיף 69א</w:t>
            </w:r>
          </w:p>
        </w:tc>
        <w:tc>
          <w:tcPr>
            <w:tcW w:w="624" w:type="dxa"/>
          </w:tcPr>
          <w:p w14:paraId="6A413E4E" w14:textId="77777777" w:rsidR="007D12B5" w:rsidRPr="001F01AB" w:rsidRDefault="007D12B5" w:rsidP="00437795">
            <w:pPr>
              <w:pStyle w:val="TableText"/>
              <w:ind w:righ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7144" w:type="dxa"/>
            <w:gridSpan w:val="2"/>
          </w:tcPr>
          <w:p w14:paraId="64003257" w14:textId="06B6D3DA" w:rsidR="007D12B5" w:rsidRPr="00B95323" w:rsidRDefault="007D12B5" w:rsidP="00437795">
            <w:pPr>
              <w:pStyle w:val="TableBlock"/>
              <w:rPr>
                <w:sz w:val="26"/>
                <w:rtl/>
              </w:rPr>
            </w:pPr>
            <w:r w:rsidRPr="00B95323">
              <w:rPr>
                <w:sz w:val="26"/>
                <w:rtl/>
              </w:rPr>
              <w:t>בחוק ה</w:t>
            </w:r>
            <w:r w:rsidR="009605F0">
              <w:rPr>
                <w:rFonts w:hint="cs"/>
                <w:sz w:val="26"/>
                <w:rtl/>
              </w:rPr>
              <w:t>הוצאה לפועל</w:t>
            </w:r>
            <w:r w:rsidRPr="00B95323">
              <w:rPr>
                <w:rFonts w:hint="cs"/>
                <w:sz w:val="26"/>
                <w:rtl/>
              </w:rPr>
              <w:t xml:space="preserve">, </w:t>
            </w:r>
            <w:r>
              <w:rPr>
                <w:rFonts w:hint="cs"/>
                <w:sz w:val="26"/>
                <w:rtl/>
              </w:rPr>
              <w:t>ה</w:t>
            </w:r>
            <w:r w:rsidRPr="00B95323">
              <w:rPr>
                <w:rFonts w:hint="cs"/>
                <w:sz w:val="26"/>
                <w:rtl/>
              </w:rPr>
              <w:t>תשכ"ז</w:t>
            </w:r>
            <w:r w:rsidRPr="00B95323">
              <w:rPr>
                <w:sz w:val="26"/>
                <w:rtl/>
              </w:rPr>
              <w:t>–19</w:t>
            </w:r>
            <w:r w:rsidRPr="00B95323">
              <w:rPr>
                <w:rFonts w:hint="cs"/>
                <w:sz w:val="26"/>
                <w:rtl/>
              </w:rPr>
              <w:t>67</w:t>
            </w:r>
            <w:r w:rsidRPr="00B95323">
              <w:rPr>
                <w:sz w:val="26"/>
                <w:vertAlign w:val="superscript"/>
                <w:rtl/>
              </w:rPr>
              <w:footnoteReference w:id="2"/>
            </w:r>
            <w:r w:rsidRPr="00B95323">
              <w:rPr>
                <w:sz w:val="26"/>
                <w:vertAlign w:val="superscript"/>
                <w:rtl/>
              </w:rPr>
              <w:t xml:space="preserve"> </w:t>
            </w:r>
            <w:r w:rsidRPr="00B95323">
              <w:rPr>
                <w:sz w:val="26"/>
                <w:rtl/>
              </w:rPr>
              <w:t xml:space="preserve">(להלן – החוק העיקרי), </w:t>
            </w:r>
            <w:r>
              <w:rPr>
                <w:rFonts w:hint="cs"/>
                <w:sz w:val="26"/>
                <w:rtl/>
              </w:rPr>
              <w:t>ב</w:t>
            </w:r>
            <w:r w:rsidRPr="00B95323">
              <w:rPr>
                <w:rFonts w:hint="cs"/>
                <w:sz w:val="26"/>
                <w:rtl/>
              </w:rPr>
              <w:t>סעיף</w:t>
            </w:r>
            <w:r w:rsidR="009605F0">
              <w:rPr>
                <w:rFonts w:hint="cs"/>
                <w:sz w:val="26"/>
                <w:rtl/>
              </w:rPr>
              <w:t xml:space="preserve"> </w:t>
            </w:r>
            <w:r>
              <w:rPr>
                <w:rFonts w:hint="cs"/>
                <w:sz w:val="26"/>
                <w:rtl/>
              </w:rPr>
              <w:t xml:space="preserve">69א,  האמור בו יסומן </w:t>
            </w:r>
            <w:r w:rsidR="00891159">
              <w:rPr>
                <w:rFonts w:hint="cs"/>
                <w:sz w:val="26"/>
                <w:rtl/>
              </w:rPr>
              <w:t>"</w:t>
            </w:r>
            <w:r>
              <w:rPr>
                <w:rFonts w:hint="cs"/>
                <w:sz w:val="26"/>
                <w:rtl/>
              </w:rPr>
              <w:t>(א)</w:t>
            </w:r>
            <w:r w:rsidR="00891159">
              <w:rPr>
                <w:rFonts w:hint="cs"/>
                <w:sz w:val="26"/>
                <w:rtl/>
              </w:rPr>
              <w:t>"</w:t>
            </w:r>
            <w:r>
              <w:rPr>
                <w:rFonts w:hint="cs"/>
                <w:sz w:val="26"/>
                <w:rtl/>
              </w:rPr>
              <w:t xml:space="preserve"> ואחריו יבוא:</w:t>
            </w:r>
          </w:p>
        </w:tc>
      </w:tr>
      <w:tr w:rsidR="007D12B5" w:rsidRPr="00B95323" w14:paraId="4D4F91E4" w14:textId="77777777" w:rsidTr="00437795">
        <w:trPr>
          <w:cantSplit/>
        </w:trPr>
        <w:tc>
          <w:tcPr>
            <w:tcW w:w="1870" w:type="dxa"/>
          </w:tcPr>
          <w:p w14:paraId="45D21759" w14:textId="77777777" w:rsidR="007D12B5" w:rsidRPr="00B95323" w:rsidRDefault="007D12B5" w:rsidP="00437795">
            <w:pPr>
              <w:pStyle w:val="TableSideHeading"/>
              <w:ind w:right="0"/>
              <w:rPr>
                <w:sz w:val="26"/>
                <w:rtl/>
              </w:rPr>
            </w:pPr>
          </w:p>
        </w:tc>
        <w:tc>
          <w:tcPr>
            <w:tcW w:w="624" w:type="dxa"/>
          </w:tcPr>
          <w:p w14:paraId="27D69104" w14:textId="77777777" w:rsidR="007D12B5" w:rsidRDefault="007D12B5" w:rsidP="00437795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7144" w:type="dxa"/>
            <w:gridSpan w:val="2"/>
          </w:tcPr>
          <w:p w14:paraId="6D861E91" w14:textId="652FEEE7" w:rsidR="007D12B5" w:rsidRPr="00B95323" w:rsidRDefault="007D12B5" w:rsidP="00891159">
            <w:pPr>
              <w:pStyle w:val="TableBlock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"(ב)</w:t>
            </w:r>
            <w:r>
              <w:rPr>
                <w:sz w:val="26"/>
                <w:rtl/>
              </w:rPr>
              <w:tab/>
            </w:r>
            <w:r w:rsidRPr="0001498D">
              <w:rPr>
                <w:rtl/>
              </w:rPr>
              <w:t>חייב</w:t>
            </w:r>
            <w:r>
              <w:rPr>
                <w:rFonts w:hint="cs"/>
                <w:rtl/>
              </w:rPr>
              <w:t xml:space="preserve"> המשלם</w:t>
            </w:r>
            <w:r w:rsidRPr="0001498D">
              <w:rPr>
                <w:rtl/>
              </w:rPr>
              <w:t xml:space="preserve"> </w:t>
            </w:r>
            <w:r w:rsidRPr="00617579">
              <w:rPr>
                <w:rFonts w:hint="cs"/>
                <w:rtl/>
              </w:rPr>
              <w:t>ל</w:t>
            </w:r>
            <w:r w:rsidRPr="00617579">
              <w:rPr>
                <w:rtl/>
              </w:rPr>
              <w:t xml:space="preserve">פי הכללים </w:t>
            </w:r>
            <w:r w:rsidRPr="0001498D">
              <w:rPr>
                <w:rtl/>
              </w:rPr>
              <w:t xml:space="preserve">כאמור בסעיף קטן (א), </w:t>
            </w:r>
            <w:r>
              <w:rPr>
                <w:rFonts w:hint="cs"/>
                <w:rtl/>
              </w:rPr>
              <w:t xml:space="preserve">וכן חייב המשלם לפי הסדר תשלומים מוסכם בינו </w:t>
            </w:r>
            <w:r w:rsidR="00891159">
              <w:rPr>
                <w:rFonts w:hint="cs"/>
                <w:rtl/>
              </w:rPr>
              <w:t>ו</w:t>
            </w:r>
            <w:r>
              <w:rPr>
                <w:rFonts w:hint="cs"/>
                <w:rtl/>
              </w:rPr>
              <w:t xml:space="preserve">בין החייב, </w:t>
            </w:r>
            <w:r w:rsidRPr="0001498D">
              <w:rPr>
                <w:rtl/>
              </w:rPr>
              <w:t>רשאי להגיש למנהל לשכת ההוצאה לפועל בקשה</w:t>
            </w:r>
            <w:r w:rsidRPr="0001498D">
              <w:rPr>
                <w:rFonts w:hint="cs"/>
                <w:rtl/>
              </w:rPr>
              <w:t xml:space="preserve"> </w:t>
            </w:r>
            <w:r w:rsidRPr="00617579">
              <w:rPr>
                <w:rFonts w:hint="cs"/>
                <w:rtl/>
              </w:rPr>
              <w:t>שלא יינקטו במסגרת ה</w:t>
            </w:r>
            <w:r w:rsidRPr="001E0BC0">
              <w:rPr>
                <w:rFonts w:hint="cs"/>
                <w:rtl/>
              </w:rPr>
              <w:t>תיק שבו הוא משלם</w:t>
            </w:r>
            <w:r w:rsidRPr="00F758DF">
              <w:rPr>
                <w:rFonts w:hint="cs"/>
                <w:rtl/>
              </w:rPr>
              <w:t xml:space="preserve"> </w:t>
            </w:r>
            <w:r w:rsidRPr="0001498D">
              <w:rPr>
                <w:rFonts w:hint="cs"/>
                <w:rtl/>
              </w:rPr>
              <w:t>ההליכים שלהלן</w:t>
            </w:r>
            <w:r>
              <w:rPr>
                <w:rFonts w:hint="cs"/>
                <w:rtl/>
              </w:rPr>
              <w:t>:</w:t>
            </w:r>
            <w:r>
              <w:rPr>
                <w:rFonts w:ascii="David" w:hAnsi="David" w:hint="cs"/>
                <w:sz w:val="26"/>
                <w:rtl/>
              </w:rPr>
              <w:t xml:space="preserve"> </w:t>
            </w:r>
          </w:p>
        </w:tc>
      </w:tr>
      <w:tr w:rsidR="007D12B5" w14:paraId="5C9CEF89" w14:textId="77777777" w:rsidTr="00CD4945">
        <w:trPr>
          <w:cantSplit/>
          <w:trHeight w:val="60"/>
        </w:trPr>
        <w:tc>
          <w:tcPr>
            <w:tcW w:w="1870" w:type="dxa"/>
          </w:tcPr>
          <w:p w14:paraId="009CC35B" w14:textId="77777777" w:rsidR="007D12B5" w:rsidRDefault="007D12B5" w:rsidP="00437795">
            <w:pPr>
              <w:pStyle w:val="TableSideHeading"/>
            </w:pPr>
          </w:p>
        </w:tc>
        <w:tc>
          <w:tcPr>
            <w:tcW w:w="624" w:type="dxa"/>
          </w:tcPr>
          <w:p w14:paraId="18FF2046" w14:textId="77777777" w:rsidR="007D12B5" w:rsidRDefault="007D12B5" w:rsidP="00437795">
            <w:pPr>
              <w:pStyle w:val="TableText"/>
            </w:pPr>
          </w:p>
        </w:tc>
        <w:tc>
          <w:tcPr>
            <w:tcW w:w="624" w:type="dxa"/>
          </w:tcPr>
          <w:p w14:paraId="0E85E956" w14:textId="77777777" w:rsidR="007D12B5" w:rsidRDefault="007D12B5" w:rsidP="00437795">
            <w:pPr>
              <w:pStyle w:val="TableText"/>
            </w:pPr>
          </w:p>
        </w:tc>
        <w:tc>
          <w:tcPr>
            <w:tcW w:w="6520" w:type="dxa"/>
          </w:tcPr>
          <w:p w14:paraId="4255474B" w14:textId="77777777" w:rsidR="007D12B5" w:rsidRDefault="007D12B5" w:rsidP="00437795">
            <w:pPr>
              <w:pStyle w:val="TableBlock"/>
            </w:pPr>
            <w:r>
              <w:rPr>
                <w:rFonts w:hint="cs"/>
                <w:rtl/>
              </w:rPr>
              <w:t>(1)</w:t>
            </w:r>
            <w:r>
              <w:rPr>
                <w:rtl/>
              </w:rPr>
              <w:tab/>
            </w:r>
            <w:r w:rsidRPr="00271C64">
              <w:rPr>
                <w:rFonts w:hint="eastAsia"/>
                <w:rtl/>
              </w:rPr>
              <w:t>עיקול</w:t>
            </w:r>
            <w:r w:rsidRPr="00271C64">
              <w:rPr>
                <w:rtl/>
              </w:rPr>
              <w:t xml:space="preserve"> </w:t>
            </w:r>
            <w:r w:rsidRPr="00271C64">
              <w:rPr>
                <w:rFonts w:hint="eastAsia"/>
                <w:rtl/>
              </w:rPr>
              <w:t>חשבון</w:t>
            </w:r>
            <w:r w:rsidRPr="00271C64">
              <w:rPr>
                <w:rtl/>
              </w:rPr>
              <w:t xml:space="preserve"> </w:t>
            </w:r>
            <w:r w:rsidRPr="00271C64">
              <w:rPr>
                <w:rFonts w:hint="eastAsia"/>
                <w:rtl/>
              </w:rPr>
              <w:t>עובר</w:t>
            </w:r>
            <w:r w:rsidRPr="00271C64">
              <w:rPr>
                <w:rtl/>
              </w:rPr>
              <w:t xml:space="preserve"> </w:t>
            </w:r>
            <w:r w:rsidRPr="00271C64">
              <w:rPr>
                <w:rFonts w:hint="eastAsia"/>
                <w:rtl/>
              </w:rPr>
              <w:t>ושב</w:t>
            </w:r>
            <w:r>
              <w:rPr>
                <w:rFonts w:hint="cs"/>
                <w:rtl/>
              </w:rPr>
              <w:t xml:space="preserve"> לפי סעיף 43</w:t>
            </w:r>
            <w:r w:rsidRPr="00271C64">
              <w:rPr>
                <w:rtl/>
              </w:rPr>
              <w:t>;</w:t>
            </w:r>
          </w:p>
        </w:tc>
      </w:tr>
      <w:tr w:rsidR="007D12B5" w14:paraId="5899C0C3" w14:textId="77777777" w:rsidTr="00437795">
        <w:trPr>
          <w:cantSplit/>
          <w:trHeight w:val="60"/>
        </w:trPr>
        <w:tc>
          <w:tcPr>
            <w:tcW w:w="1870" w:type="dxa"/>
          </w:tcPr>
          <w:p w14:paraId="0B9E307E" w14:textId="77777777" w:rsidR="007D12B5" w:rsidRDefault="007D12B5" w:rsidP="00437795">
            <w:pPr>
              <w:pStyle w:val="TableSideHeading"/>
            </w:pPr>
          </w:p>
        </w:tc>
        <w:tc>
          <w:tcPr>
            <w:tcW w:w="624" w:type="dxa"/>
          </w:tcPr>
          <w:p w14:paraId="4EB6FD75" w14:textId="77777777" w:rsidR="007D12B5" w:rsidRDefault="007D12B5" w:rsidP="00437795">
            <w:pPr>
              <w:pStyle w:val="TableText"/>
            </w:pPr>
          </w:p>
        </w:tc>
        <w:tc>
          <w:tcPr>
            <w:tcW w:w="624" w:type="dxa"/>
          </w:tcPr>
          <w:p w14:paraId="5D26475F" w14:textId="77777777" w:rsidR="007D12B5" w:rsidRDefault="007D12B5" w:rsidP="00437795">
            <w:pPr>
              <w:pStyle w:val="TableText"/>
            </w:pPr>
          </w:p>
        </w:tc>
        <w:tc>
          <w:tcPr>
            <w:tcW w:w="6520" w:type="dxa"/>
          </w:tcPr>
          <w:p w14:paraId="208CE77F" w14:textId="77777777" w:rsidR="007D12B5" w:rsidRDefault="007D12B5" w:rsidP="00437795">
            <w:pPr>
              <w:pStyle w:val="TableBlock"/>
            </w:pPr>
            <w:r>
              <w:rPr>
                <w:rFonts w:hint="cs"/>
                <w:rtl/>
              </w:rPr>
              <w:t>(2)</w:t>
            </w:r>
            <w:r>
              <w:rPr>
                <w:rtl/>
              </w:rPr>
              <w:tab/>
            </w:r>
            <w:r w:rsidRPr="00271C64">
              <w:rPr>
                <w:rFonts w:hint="eastAsia"/>
                <w:rtl/>
              </w:rPr>
              <w:t>עיקול</w:t>
            </w:r>
            <w:r w:rsidRPr="00271C64">
              <w:rPr>
                <w:rtl/>
              </w:rPr>
              <w:t xml:space="preserve"> </w:t>
            </w:r>
            <w:r w:rsidRPr="00271C64">
              <w:rPr>
                <w:rFonts w:hint="eastAsia"/>
                <w:rtl/>
              </w:rPr>
              <w:t>משכורת</w:t>
            </w:r>
            <w:r>
              <w:rPr>
                <w:rFonts w:hint="cs"/>
                <w:rtl/>
              </w:rPr>
              <w:t xml:space="preserve"> לפי סעיף 43</w:t>
            </w:r>
            <w:r w:rsidRPr="00271C64">
              <w:rPr>
                <w:rtl/>
              </w:rPr>
              <w:t>;</w:t>
            </w:r>
          </w:p>
        </w:tc>
      </w:tr>
      <w:tr w:rsidR="007D12B5" w14:paraId="0915B6B4" w14:textId="77777777" w:rsidTr="00437795">
        <w:trPr>
          <w:cantSplit/>
          <w:trHeight w:val="60"/>
        </w:trPr>
        <w:tc>
          <w:tcPr>
            <w:tcW w:w="1870" w:type="dxa"/>
          </w:tcPr>
          <w:p w14:paraId="1D84D993" w14:textId="77777777" w:rsidR="007D12B5" w:rsidRDefault="007D12B5" w:rsidP="00437795">
            <w:pPr>
              <w:pStyle w:val="TableSideHeading"/>
            </w:pPr>
          </w:p>
        </w:tc>
        <w:tc>
          <w:tcPr>
            <w:tcW w:w="624" w:type="dxa"/>
          </w:tcPr>
          <w:p w14:paraId="0C9BA2FD" w14:textId="77777777" w:rsidR="007D12B5" w:rsidRDefault="007D12B5" w:rsidP="00437795">
            <w:pPr>
              <w:pStyle w:val="TableText"/>
            </w:pPr>
          </w:p>
        </w:tc>
        <w:tc>
          <w:tcPr>
            <w:tcW w:w="624" w:type="dxa"/>
          </w:tcPr>
          <w:p w14:paraId="49C87B6F" w14:textId="77777777" w:rsidR="007D12B5" w:rsidRDefault="007D12B5" w:rsidP="00437795">
            <w:pPr>
              <w:pStyle w:val="TableText"/>
            </w:pPr>
          </w:p>
        </w:tc>
        <w:tc>
          <w:tcPr>
            <w:tcW w:w="6520" w:type="dxa"/>
          </w:tcPr>
          <w:p w14:paraId="2B341BA8" w14:textId="77777777" w:rsidR="007D12B5" w:rsidRPr="00271C64" w:rsidRDefault="007D12B5" w:rsidP="00437795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(3)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הגבלת החייב מקבל, מהחזיק ומחדש רישיון נהיגה לפי סעיף 66א(6).</w:t>
            </w:r>
          </w:p>
        </w:tc>
      </w:tr>
      <w:tr w:rsidR="007D12B5" w14:paraId="2236A942" w14:textId="77777777" w:rsidTr="00437795">
        <w:trPr>
          <w:cantSplit/>
          <w:trHeight w:val="60"/>
        </w:trPr>
        <w:tc>
          <w:tcPr>
            <w:tcW w:w="1870" w:type="dxa"/>
          </w:tcPr>
          <w:p w14:paraId="210ED37C" w14:textId="77777777" w:rsidR="007D12B5" w:rsidRDefault="007D12B5" w:rsidP="00437795">
            <w:pPr>
              <w:pStyle w:val="TableSideHeading"/>
            </w:pPr>
          </w:p>
        </w:tc>
        <w:tc>
          <w:tcPr>
            <w:tcW w:w="624" w:type="dxa"/>
          </w:tcPr>
          <w:p w14:paraId="50D40972" w14:textId="77777777" w:rsidR="007D12B5" w:rsidRDefault="007D12B5" w:rsidP="00437795">
            <w:pPr>
              <w:pStyle w:val="TableText"/>
            </w:pPr>
          </w:p>
        </w:tc>
        <w:tc>
          <w:tcPr>
            <w:tcW w:w="7144" w:type="dxa"/>
            <w:gridSpan w:val="2"/>
          </w:tcPr>
          <w:p w14:paraId="717B4C9A" w14:textId="02B5EC1B" w:rsidR="007D12B5" w:rsidRDefault="007D12B5" w:rsidP="00891159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(ג)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מצא מנהל לשכת ההוצאה לפועל, לפי בקשת החייב, כי החייב עמד בשלושה תשלומים, יורה שלא לנקוט את ההליכים המפורטים בסעיף קטן (ב), וישלח הודעה על כך לצדדים; </w:t>
            </w:r>
            <w:r>
              <w:rPr>
                <w:rFonts w:ascii="David" w:hAnsi="David" w:hint="cs"/>
                <w:sz w:val="26"/>
                <w:rtl/>
              </w:rPr>
              <w:t>חדל החייב מלעמוד בצו התשלומים במשך שני תשלומים, רשאי</w:t>
            </w:r>
            <w:r>
              <w:rPr>
                <w:rFonts w:hint="cs"/>
                <w:sz w:val="26"/>
                <w:rtl/>
              </w:rPr>
              <w:t xml:space="preserve"> הזוכה לבקש חידוש ההליכים שבוטלו לפי סעיף זה.</w:t>
            </w:r>
            <w:r w:rsidR="009605F0">
              <w:rPr>
                <w:rFonts w:hint="cs"/>
                <w:rtl/>
              </w:rPr>
              <w:t>"</w:t>
            </w:r>
          </w:p>
        </w:tc>
      </w:tr>
    </w:tbl>
    <w:p w14:paraId="64FD28D7" w14:textId="77777777" w:rsidR="007D12B5" w:rsidRDefault="007D12B5" w:rsidP="007D12B5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5F14B212" w14:textId="5BAF97F9" w:rsidR="007D12B5" w:rsidRPr="00752AD0" w:rsidRDefault="00891159" w:rsidP="00891159">
      <w:pPr>
        <w:pStyle w:val="Hesber"/>
        <w:spacing w:line="276" w:lineRule="auto"/>
        <w:rPr>
          <w:rtl/>
        </w:rPr>
      </w:pPr>
      <w:r>
        <w:rPr>
          <w:rFonts w:hint="cs"/>
          <w:rtl/>
        </w:rPr>
        <w:t>כדי</w:t>
      </w:r>
      <w:r w:rsidR="007D12B5" w:rsidRPr="00752AD0">
        <w:rPr>
          <w:rFonts w:hint="cs"/>
          <w:rtl/>
        </w:rPr>
        <w:t xml:space="preserve"> לעודד חייבים להגיע להסדר תשלום עם הזוכים ולעמוד בהסדרים אלו, וכדי לתת לחייבים אפשרות לפתוח דף חדש, מוצע להגביל את הטלת הגבלות המקשות על התפקוד היום-יומי החייב, שהן עיקול חשבון העובר ושב, עיקול משכורת החייב</w:t>
      </w:r>
      <w:r w:rsidR="007D12B5" w:rsidRPr="00752AD0" w:rsidDel="00441E0B">
        <w:rPr>
          <w:rFonts w:hint="cs"/>
          <w:rtl/>
        </w:rPr>
        <w:t xml:space="preserve"> </w:t>
      </w:r>
      <w:r w:rsidR="007D12B5" w:rsidRPr="00752AD0">
        <w:rPr>
          <w:rFonts w:hint="cs"/>
          <w:rtl/>
        </w:rPr>
        <w:t>והגבלת רישיון הנהיגה שלו.</w:t>
      </w:r>
    </w:p>
    <w:p w14:paraId="380040F2" w14:textId="18D24506" w:rsidR="007D12B5" w:rsidRDefault="007D12B5" w:rsidP="00891159">
      <w:pPr>
        <w:pStyle w:val="Hesber"/>
        <w:spacing w:line="276" w:lineRule="auto"/>
        <w:rPr>
          <w:rtl/>
        </w:rPr>
      </w:pPr>
      <w:r w:rsidRPr="00752AD0">
        <w:rPr>
          <w:rFonts w:hint="cs"/>
          <w:rtl/>
        </w:rPr>
        <w:t xml:space="preserve">מוצע כי אם עומד החייב בצו התשלומים שנקבע בתיק ההוצאה לפועל במשך שלושה תשלומים, </w:t>
      </w:r>
      <w:r>
        <w:rPr>
          <w:rFonts w:hint="cs"/>
          <w:rtl/>
        </w:rPr>
        <w:t>מנהל לשכת ההוצאה לפועל יורה כי לא יינקטו נגדו</w:t>
      </w:r>
      <w:r w:rsidRPr="00752AD0">
        <w:rPr>
          <w:rFonts w:hint="cs"/>
          <w:rtl/>
        </w:rPr>
        <w:t xml:space="preserve"> ההגבלות האמורות. </w:t>
      </w:r>
      <w:r w:rsidR="00891159">
        <w:rPr>
          <w:rFonts w:hint="cs"/>
          <w:rtl/>
        </w:rPr>
        <w:t>ואולם</w:t>
      </w:r>
      <w:r w:rsidRPr="00752AD0">
        <w:rPr>
          <w:rFonts w:hint="cs"/>
          <w:rtl/>
        </w:rPr>
        <w:t xml:space="preserve">, אם לאחר מכן </w:t>
      </w:r>
      <w:r>
        <w:rPr>
          <w:rFonts w:hint="cs"/>
          <w:rtl/>
        </w:rPr>
        <w:t>יימצא כי החייב לא עמד</w:t>
      </w:r>
      <w:r w:rsidRPr="00752AD0">
        <w:rPr>
          <w:rFonts w:hint="cs"/>
          <w:rtl/>
        </w:rPr>
        <w:t xml:space="preserve"> בצו התשלומים במשך שני תשלומים, הזוכה יהיה רשאי לבקש את חידוש ההגבלות שבוטלו.</w:t>
      </w:r>
    </w:p>
    <w:p w14:paraId="42783692" w14:textId="77777777" w:rsidR="00891159" w:rsidRPr="00752AD0" w:rsidRDefault="00891159" w:rsidP="00891159">
      <w:pPr>
        <w:pStyle w:val="Hesber"/>
        <w:spacing w:line="276" w:lineRule="auto"/>
        <w:rPr>
          <w:rtl/>
        </w:rPr>
      </w:pPr>
    </w:p>
    <w:p w14:paraId="39AA3D07" w14:textId="77777777" w:rsidR="00891159" w:rsidRPr="00D73212" w:rsidRDefault="00891159" w:rsidP="00891159">
      <w:pPr>
        <w:pStyle w:val="Hesber"/>
        <w:spacing w:line="276" w:lineRule="auto"/>
        <w:rPr>
          <w:color w:val="auto"/>
          <w:rtl/>
          <w:lang w:eastAsia="en-US"/>
        </w:rPr>
      </w:pPr>
      <w:r w:rsidRPr="00D73212">
        <w:rPr>
          <w:color w:val="auto"/>
          <w:rtl/>
          <w:lang w:eastAsia="en-US"/>
        </w:rPr>
        <w:t>---------------------------------</w:t>
      </w:r>
    </w:p>
    <w:p w14:paraId="52F415D3" w14:textId="77777777" w:rsidR="00891159" w:rsidRPr="00D73212" w:rsidRDefault="00891159" w:rsidP="00891159">
      <w:pPr>
        <w:pStyle w:val="Hesber"/>
        <w:spacing w:line="276" w:lineRule="auto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הוגשה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ליו</w:t>
      </w:r>
      <w:r w:rsidRPr="00D73212">
        <w:rPr>
          <w:color w:val="auto"/>
          <w:rtl/>
          <w:lang w:eastAsia="en-US"/>
        </w:rPr>
        <w:t>"</w:t>
      </w:r>
      <w:r w:rsidRPr="00D73212">
        <w:rPr>
          <w:rFonts w:hint="cs"/>
          <w:color w:val="auto"/>
          <w:rtl/>
          <w:lang w:eastAsia="en-US"/>
        </w:rPr>
        <w:t>ר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והסגנים</w:t>
      </w:r>
    </w:p>
    <w:p w14:paraId="78F62926" w14:textId="77777777" w:rsidR="00891159" w:rsidRPr="00D73212" w:rsidRDefault="00891159" w:rsidP="00891159">
      <w:pPr>
        <w:pStyle w:val="Hesber"/>
        <w:spacing w:line="276" w:lineRule="auto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והונחה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על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שולחן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ביום</w:t>
      </w:r>
    </w:p>
    <w:p w14:paraId="16958D6B" w14:textId="77777777" w:rsidR="00891159" w:rsidRPr="00317312" w:rsidRDefault="00891159" w:rsidP="00891159">
      <w:pPr>
        <w:pStyle w:val="Hesber"/>
        <w:spacing w:line="276" w:lineRule="auto"/>
      </w:pPr>
      <w:r>
        <w:rPr>
          <w:rFonts w:hint="cs"/>
          <w:color w:val="auto"/>
          <w:rtl/>
          <w:lang w:eastAsia="en-US"/>
        </w:rPr>
        <w:t>כ' בשבט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התשע</w:t>
      </w:r>
      <w:r w:rsidRPr="00D73212">
        <w:rPr>
          <w:color w:val="auto"/>
          <w:rtl/>
          <w:lang w:eastAsia="en-US"/>
        </w:rPr>
        <w:t>"</w:t>
      </w:r>
      <w:r>
        <w:rPr>
          <w:rFonts w:hint="cs"/>
          <w:color w:val="auto"/>
          <w:rtl/>
          <w:lang w:eastAsia="en-US"/>
        </w:rPr>
        <w:t>ח</w:t>
      </w:r>
      <w:r w:rsidRPr="00D73212">
        <w:rPr>
          <w:color w:val="auto"/>
          <w:rtl/>
          <w:lang w:eastAsia="en-US"/>
        </w:rPr>
        <w:t xml:space="preserve"> – </w:t>
      </w:r>
      <w:r>
        <w:rPr>
          <w:rFonts w:hint="cs"/>
          <w:color w:val="auto"/>
          <w:rtl/>
          <w:lang w:eastAsia="en-US"/>
        </w:rPr>
        <w:t>5.2.18</w:t>
      </w:r>
      <w:bookmarkStart w:id="8" w:name="_GoBack"/>
      <w:bookmarkEnd w:id="8"/>
    </w:p>
    <w:sectPr w:rsidR="00891159" w:rsidRPr="00317312" w:rsidSect="001207F8">
      <w:headerReference w:type="default" r:id="rId11"/>
      <w:footerReference w:type="even" r:id="rId12"/>
      <w:footerReference w:type="default" r:id="rId13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88A69" w14:textId="77777777" w:rsidR="00A942C1" w:rsidRDefault="00A942C1">
      <w:r>
        <w:separator/>
      </w:r>
    </w:p>
  </w:endnote>
  <w:endnote w:type="continuationSeparator" w:id="0">
    <w:p w14:paraId="318F26FB" w14:textId="77777777" w:rsidR="00A942C1" w:rsidRDefault="00A942C1">
      <w:r>
        <w:continuationSeparator/>
      </w:r>
    </w:p>
  </w:endnote>
  <w:endnote w:type="continuationNotice" w:id="1">
    <w:p w14:paraId="6BE48FD5" w14:textId="77777777" w:rsidR="00A942C1" w:rsidRDefault="00A942C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14:paraId="7F6961D6" w14:textId="77777777" w:rsidR="002C3041" w:rsidRDefault="002C304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 w:rsidR="00891159">
      <w:rPr>
        <w:rStyle w:val="ab"/>
        <w:noProof/>
        <w:rtl/>
      </w:rPr>
      <w:t>2</w:t>
    </w:r>
    <w:r>
      <w:rPr>
        <w:rStyle w:val="ab"/>
        <w:rtl/>
      </w:rPr>
      <w:fldChar w:fldCharType="end"/>
    </w:r>
  </w:p>
  <w:p w14:paraId="7F6961D8" w14:textId="77777777" w:rsidR="002C3041" w:rsidRDefault="002C30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7B9F2" w14:textId="77777777" w:rsidR="00A942C1" w:rsidRDefault="00A942C1">
      <w:r>
        <w:separator/>
      </w:r>
    </w:p>
  </w:footnote>
  <w:footnote w:type="continuationSeparator" w:id="0">
    <w:p w14:paraId="3DB92342" w14:textId="77777777" w:rsidR="00A942C1" w:rsidRDefault="00A942C1">
      <w:r>
        <w:continuationSeparator/>
      </w:r>
    </w:p>
  </w:footnote>
  <w:footnote w:type="continuationNotice" w:id="1">
    <w:p w14:paraId="16009878" w14:textId="77777777" w:rsidR="00A942C1" w:rsidRDefault="00A942C1"/>
  </w:footnote>
  <w:footnote w:id="2">
    <w:p w14:paraId="2D729DE7" w14:textId="77777777" w:rsidR="007D12B5" w:rsidRDefault="007D12B5" w:rsidP="007D12B5">
      <w:pPr>
        <w:pStyle w:val="a4"/>
      </w:pPr>
      <w:r>
        <w:rPr>
          <w:rStyle w:val="a6"/>
        </w:rPr>
        <w:footnoteRef/>
      </w:r>
      <w:r>
        <w:rPr>
          <w:rFonts w:hint="cs"/>
          <w:rtl/>
        </w:rPr>
        <w:t xml:space="preserve"> ס"ח התשכ"ז, עמ' 116.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8A370" w14:textId="77777777" w:rsidR="002D020D" w:rsidRDefault="002D020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2CAC"/>
    <w:rsid w:val="0007681A"/>
    <w:rsid w:val="000A542E"/>
    <w:rsid w:val="000B16C8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C23B0"/>
    <w:rsid w:val="001D7AAF"/>
    <w:rsid w:val="001F01AB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45C"/>
    <w:rsid w:val="00266D86"/>
    <w:rsid w:val="00271336"/>
    <w:rsid w:val="002728B4"/>
    <w:rsid w:val="0027600C"/>
    <w:rsid w:val="00292712"/>
    <w:rsid w:val="002962D0"/>
    <w:rsid w:val="002A487D"/>
    <w:rsid w:val="002C2E29"/>
    <w:rsid w:val="002C3041"/>
    <w:rsid w:val="002D020D"/>
    <w:rsid w:val="002D1EE3"/>
    <w:rsid w:val="002F1D80"/>
    <w:rsid w:val="003232A2"/>
    <w:rsid w:val="00325C14"/>
    <w:rsid w:val="0036422C"/>
    <w:rsid w:val="003710F6"/>
    <w:rsid w:val="00386E88"/>
    <w:rsid w:val="00396585"/>
    <w:rsid w:val="003D6E38"/>
    <w:rsid w:val="003D74A0"/>
    <w:rsid w:val="004033D8"/>
    <w:rsid w:val="004073F0"/>
    <w:rsid w:val="00412A7D"/>
    <w:rsid w:val="00416B4D"/>
    <w:rsid w:val="00417CFC"/>
    <w:rsid w:val="00441E0B"/>
    <w:rsid w:val="004A06DC"/>
    <w:rsid w:val="004B24ED"/>
    <w:rsid w:val="004B6625"/>
    <w:rsid w:val="004D2D82"/>
    <w:rsid w:val="004D3876"/>
    <w:rsid w:val="004E4552"/>
    <w:rsid w:val="004E6CDF"/>
    <w:rsid w:val="00540D4B"/>
    <w:rsid w:val="00553C9D"/>
    <w:rsid w:val="00562A66"/>
    <w:rsid w:val="005B064E"/>
    <w:rsid w:val="005D51AE"/>
    <w:rsid w:val="0062674B"/>
    <w:rsid w:val="006363B2"/>
    <w:rsid w:val="00644940"/>
    <w:rsid w:val="006818A9"/>
    <w:rsid w:val="006A2D81"/>
    <w:rsid w:val="006C1D0D"/>
    <w:rsid w:val="0070601E"/>
    <w:rsid w:val="00712C72"/>
    <w:rsid w:val="00735FE9"/>
    <w:rsid w:val="00763CAA"/>
    <w:rsid w:val="00765F66"/>
    <w:rsid w:val="0078664F"/>
    <w:rsid w:val="007C3FA6"/>
    <w:rsid w:val="007D12B5"/>
    <w:rsid w:val="007D585A"/>
    <w:rsid w:val="007D5A12"/>
    <w:rsid w:val="007E59F9"/>
    <w:rsid w:val="00810BCD"/>
    <w:rsid w:val="00812C98"/>
    <w:rsid w:val="00814D92"/>
    <w:rsid w:val="0083181D"/>
    <w:rsid w:val="00843EB2"/>
    <w:rsid w:val="00865572"/>
    <w:rsid w:val="00874BBC"/>
    <w:rsid w:val="00874FAC"/>
    <w:rsid w:val="00891159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05F0"/>
    <w:rsid w:val="00966D06"/>
    <w:rsid w:val="00982412"/>
    <w:rsid w:val="00983A8D"/>
    <w:rsid w:val="009A0DB8"/>
    <w:rsid w:val="009A6FD4"/>
    <w:rsid w:val="009A7257"/>
    <w:rsid w:val="009D6E0A"/>
    <w:rsid w:val="009E1E33"/>
    <w:rsid w:val="00A14672"/>
    <w:rsid w:val="00A26BD6"/>
    <w:rsid w:val="00A3025A"/>
    <w:rsid w:val="00A443CF"/>
    <w:rsid w:val="00A6611D"/>
    <w:rsid w:val="00A82CB7"/>
    <w:rsid w:val="00A942C1"/>
    <w:rsid w:val="00AA2F03"/>
    <w:rsid w:val="00AC36F7"/>
    <w:rsid w:val="00AC63A4"/>
    <w:rsid w:val="00AD239E"/>
    <w:rsid w:val="00B10265"/>
    <w:rsid w:val="00B16A99"/>
    <w:rsid w:val="00B21211"/>
    <w:rsid w:val="00B35784"/>
    <w:rsid w:val="00B733A7"/>
    <w:rsid w:val="00B75C91"/>
    <w:rsid w:val="00B95323"/>
    <w:rsid w:val="00B975AD"/>
    <w:rsid w:val="00BC45FB"/>
    <w:rsid w:val="00BF148D"/>
    <w:rsid w:val="00C23B1A"/>
    <w:rsid w:val="00C310EB"/>
    <w:rsid w:val="00C9176A"/>
    <w:rsid w:val="00CD4945"/>
    <w:rsid w:val="00CF1AA2"/>
    <w:rsid w:val="00D17774"/>
    <w:rsid w:val="00D2356B"/>
    <w:rsid w:val="00D63620"/>
    <w:rsid w:val="00D8410D"/>
    <w:rsid w:val="00D867D7"/>
    <w:rsid w:val="00DB7060"/>
    <w:rsid w:val="00DE3153"/>
    <w:rsid w:val="00E06736"/>
    <w:rsid w:val="00E13C27"/>
    <w:rsid w:val="00E33BBD"/>
    <w:rsid w:val="00E374F2"/>
    <w:rsid w:val="00E45103"/>
    <w:rsid w:val="00E55A60"/>
    <w:rsid w:val="00E62778"/>
    <w:rsid w:val="00E63D38"/>
    <w:rsid w:val="00E665B9"/>
    <w:rsid w:val="00EA01E6"/>
    <w:rsid w:val="00EA3DE8"/>
    <w:rsid w:val="00EA758F"/>
    <w:rsid w:val="00ED4A6F"/>
    <w:rsid w:val="00EF3A3A"/>
    <w:rsid w:val="00F628D6"/>
    <w:rsid w:val="00F67051"/>
    <w:rsid w:val="00F86A1E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E7CC2A52-7C30-40EF-A06A-B08F5CE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1AB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1F01AB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1F01AB"/>
    <w:rPr>
      <w:sz w:val="36"/>
      <w:szCs w:val="52"/>
    </w:rPr>
  </w:style>
  <w:style w:type="paragraph" w:customStyle="1" w:styleId="Cover3-Haknesset">
    <w:name w:val="Cover 3-Haknesset"/>
    <w:basedOn w:val="Cover1-Reshumot"/>
    <w:rsid w:val="001F01AB"/>
    <w:rPr>
      <w:b/>
      <w:bCs/>
      <w:spacing w:val="60"/>
    </w:rPr>
  </w:style>
  <w:style w:type="paragraph" w:customStyle="1" w:styleId="Cover4-Date">
    <w:name w:val="Cover 4-Date"/>
    <w:basedOn w:val="a"/>
    <w:rsid w:val="001F01AB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1F01AB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1F01AB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1F01AB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1F01AB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1F01AB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1F01AB"/>
  </w:style>
  <w:style w:type="paragraph" w:customStyle="1" w:styleId="TableBlock">
    <w:name w:val="Table Block"/>
    <w:basedOn w:val="TableText"/>
    <w:rsid w:val="001F01AB"/>
    <w:pPr>
      <w:ind w:right="0"/>
      <w:jc w:val="both"/>
    </w:pPr>
  </w:style>
  <w:style w:type="paragraph" w:customStyle="1" w:styleId="TableHead">
    <w:name w:val="Table Head"/>
    <w:basedOn w:val="TableText"/>
    <w:rsid w:val="001F01AB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1F01AB"/>
  </w:style>
  <w:style w:type="paragraph" w:customStyle="1" w:styleId="Hesber">
    <w:name w:val="Hesber"/>
    <w:basedOn w:val="a"/>
    <w:rsid w:val="001F01AB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link w:val="a5"/>
    <w:autoRedefine/>
    <w:semiHidden/>
    <w:rsid w:val="001F01AB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6">
    <w:name w:val="footnote reference"/>
    <w:aliases w:val="Footnote Reference"/>
    <w:basedOn w:val="a0"/>
    <w:semiHidden/>
    <w:rsid w:val="001F01AB"/>
    <w:rPr>
      <w:vertAlign w:val="superscript"/>
    </w:rPr>
  </w:style>
  <w:style w:type="paragraph" w:customStyle="1" w:styleId="HesberHeading">
    <w:name w:val="Hesber Heading"/>
    <w:basedOn w:val="Hesber"/>
    <w:rsid w:val="001F01AB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1F01AB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1F01AB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1F01AB"/>
    <w:rPr>
      <w:vertAlign w:val="superscript"/>
    </w:rPr>
  </w:style>
  <w:style w:type="paragraph" w:customStyle="1" w:styleId="TableBlockOutdent">
    <w:name w:val="Table BlockOutdent"/>
    <w:basedOn w:val="TableBlock"/>
    <w:rsid w:val="001F01AB"/>
    <w:pPr>
      <w:ind w:left="624" w:hanging="624"/>
    </w:pPr>
  </w:style>
  <w:style w:type="paragraph" w:styleId="a8">
    <w:name w:val="header"/>
    <w:basedOn w:val="a"/>
    <w:rsid w:val="001F01AB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1F01AB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1F01AB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1F01AB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1F01AB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a5">
    <w:name w:val="טקסט הערת שוליים תו"/>
    <w:basedOn w:val="a0"/>
    <w:link w:val="a4"/>
    <w:semiHidden/>
    <w:rsid w:val="00B95323"/>
    <w:rPr>
      <w:rFonts w:ascii="Arial" w:eastAsia="Arial Unicode MS" w:hAnsi="Arial" w:cs="David"/>
      <w:snapToGrid w:val="0"/>
      <w:color w:val="000000"/>
      <w:sz w:val="14"/>
      <w:lang w:eastAsia="ja-JP"/>
    </w:rPr>
  </w:style>
  <w:style w:type="character" w:styleId="ae">
    <w:name w:val="annotation reference"/>
    <w:basedOn w:val="a0"/>
    <w:semiHidden/>
    <w:unhideWhenUsed/>
    <w:rsid w:val="001F01AB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1F01AB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semiHidden/>
    <w:rsid w:val="001F01AB"/>
    <w:rPr>
      <w:rFonts w:ascii="Hadasa Roso SL" w:hAnsi="Hadasa Roso SL" w:cs="Hadasa Roso SL"/>
      <w:color w:val="000000"/>
      <w:spacing w:val="1"/>
      <w:lang w:eastAsia="ja-JP"/>
    </w:rPr>
  </w:style>
  <w:style w:type="paragraph" w:styleId="af1">
    <w:name w:val="annotation subject"/>
    <w:basedOn w:val="af"/>
    <w:next w:val="af"/>
    <w:link w:val="af2"/>
    <w:semiHidden/>
    <w:unhideWhenUsed/>
    <w:rsid w:val="001F01AB"/>
    <w:rPr>
      <w:b/>
      <w:bCs/>
    </w:rPr>
  </w:style>
  <w:style w:type="character" w:customStyle="1" w:styleId="af2">
    <w:name w:val="נושא הערה תו"/>
    <w:basedOn w:val="af0"/>
    <w:link w:val="af1"/>
    <w:semiHidden/>
    <w:rsid w:val="001F01AB"/>
    <w:rPr>
      <w:rFonts w:ascii="Hadasa Roso SL" w:hAnsi="Hadasa Roso SL" w:cs="Hadasa Roso SL"/>
      <w:b/>
      <w:bCs/>
      <w:color w:val="000000"/>
      <w:spacing w:val="1"/>
      <w:lang w:eastAsia="ja-JP"/>
    </w:rPr>
  </w:style>
  <w:style w:type="paragraph" w:customStyle="1" w:styleId="P00">
    <w:name w:val="P00"/>
    <w:link w:val="P000"/>
    <w:rsid w:val="00D2356B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/>
      <w:ind w:left="2835"/>
      <w:jc w:val="both"/>
    </w:pPr>
    <w:rPr>
      <w:rFonts w:eastAsia="Times New Roman"/>
      <w:noProof/>
      <w:szCs w:val="26"/>
      <w:lang w:eastAsia="he-IL"/>
    </w:rPr>
  </w:style>
  <w:style w:type="character" w:customStyle="1" w:styleId="default">
    <w:name w:val="default"/>
    <w:rsid w:val="00D2356B"/>
    <w:rPr>
      <w:rFonts w:ascii="Times New Roman" w:hAnsi="Times New Roman" w:cs="Times New Roman"/>
      <w:sz w:val="26"/>
      <w:szCs w:val="26"/>
    </w:rPr>
  </w:style>
  <w:style w:type="character" w:customStyle="1" w:styleId="big-number">
    <w:name w:val="big-number"/>
    <w:rsid w:val="00D2356B"/>
    <w:rPr>
      <w:rFonts w:ascii="Times New Roman" w:hAnsi="Times New Roman" w:cs="Miriam"/>
      <w:sz w:val="32"/>
      <w:szCs w:val="32"/>
    </w:rPr>
  </w:style>
  <w:style w:type="character" w:customStyle="1" w:styleId="P000">
    <w:name w:val="P00 תו"/>
    <w:link w:val="P00"/>
    <w:rsid w:val="00D2356B"/>
    <w:rPr>
      <w:rFonts w:eastAsia="Times New Roman"/>
      <w:noProof/>
      <w:szCs w:val="2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4AFE3-9455-419C-8851-785A55F44517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9FFF65-7A72-4F3F-BF13-65D773A93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3B7D44-EAFF-45AF-A6BF-AB90E2FB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262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חנה קרליץ</cp:lastModifiedBy>
  <cp:revision>12</cp:revision>
  <cp:lastPrinted>2018-01-31T12:58:00Z</cp:lastPrinted>
  <dcterms:created xsi:type="dcterms:W3CDTF">2015-04-20T09:58:00Z</dcterms:created>
  <dcterms:modified xsi:type="dcterms:W3CDTF">2018-01-31T12:58:00Z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2064532</vt:r8>
  </property>
</Properties>
</file>