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2064857</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אלעזר שטרן</w:t>
      </w:r>
      <w:r>
        <w:br/>
      </w:r>
      <w:r>
        <w:rPr>
          <w:rFonts w:hint="cs"/>
          <w:b/>
          <w:bCs/>
          <w:rtl/>
        </w:rPr>
        <w:t xml:space="preserve"> </w:t>
      </w:r>
      <w:r>
        <w:tab/>
      </w:r>
      <w:r>
        <w:tab/>
      </w:r>
      <w:r>
        <w:tab/>
      </w:r>
      <w:r>
        <w:tab/>
      </w:r>
      <w:r>
        <w:rPr>
          <w:rFonts w:hint="cs"/>
          <w:b/>
          <w:bCs/>
          <w:rtl/>
        </w:rPr>
        <w:t xml:space="preserve">אלי </w:t>
      </w:r>
      <w:proofErr w:type="spellStart"/>
      <w:r>
        <w:rPr>
          <w:rFonts w:hint="cs"/>
          <w:b/>
          <w:bCs/>
          <w:rtl/>
        </w:rPr>
        <w:t>אלאלוף</w:t>
      </w:r>
      <w:proofErr w:type="spellEnd"/>
      <w:r>
        <w:br/>
      </w:r>
      <w:r>
        <w:rPr>
          <w:rFonts w:hint="cs"/>
          <w:b/>
          <w:bCs/>
          <w:rtl/>
        </w:rPr>
        <w:t xml:space="preserve"> </w:t>
      </w:r>
      <w:r>
        <w:tab/>
      </w:r>
      <w:r>
        <w:tab/>
      </w:r>
      <w:r>
        <w:tab/>
      </w:r>
      <w:r>
        <w:tab/>
      </w:r>
      <w:r>
        <w:rPr>
          <w:rFonts w:hint="cs"/>
          <w:b/>
          <w:bCs/>
          <w:rtl/>
        </w:rPr>
        <w:t xml:space="preserve">דוד </w:t>
      </w:r>
      <w:proofErr w:type="spellStart"/>
      <w:r>
        <w:rPr>
          <w:rFonts w:hint="cs"/>
          <w:b/>
          <w:bCs/>
          <w:rtl/>
        </w:rPr>
        <w:t>אמסלם</w:t>
      </w:r>
      <w:proofErr w:type="spellEnd"/>
      <w:r>
        <w:br/>
      </w:r>
      <w:r>
        <w:rPr>
          <w:rFonts w:hint="cs"/>
          <w:b/>
          <w:bCs/>
          <w:rtl/>
        </w:rPr>
        <w:t xml:space="preserve"> </w:t>
      </w:r>
      <w:r>
        <w:tab/>
      </w:r>
      <w:r>
        <w:tab/>
      </w:r>
      <w:r>
        <w:tab/>
      </w:r>
      <w:r>
        <w:tab/>
      </w:r>
      <w:r>
        <w:rPr>
          <w:rFonts w:hint="cs"/>
          <w:b/>
          <w:bCs/>
          <w:rtl/>
        </w:rPr>
        <w:t xml:space="preserve">יעקב </w:t>
      </w:r>
      <w:proofErr w:type="spellStart"/>
      <w:r>
        <w:rPr>
          <w:rFonts w:hint="cs"/>
          <w:b/>
          <w:bCs/>
          <w:rtl/>
        </w:rPr>
        <w:t>מרגי</w:t>
      </w:r>
      <w:proofErr w:type="spellEnd"/>
      <w:r>
        <w:br/>
      </w:r>
      <w:r>
        <w:rPr>
          <w:rFonts w:hint="cs"/>
          <w:b/>
          <w:bCs/>
          <w:rtl/>
        </w:rPr>
        <w:t xml:space="preserve"> </w:t>
      </w:r>
      <w:r>
        <w:tab/>
      </w:r>
      <w:r>
        <w:tab/>
      </w:r>
      <w:r>
        <w:tab/>
      </w:r>
      <w:r>
        <w:tab/>
      </w:r>
      <w:r>
        <w:rPr>
          <w:rFonts w:hint="cs"/>
          <w:b/>
          <w:bCs/>
          <w:rtl/>
        </w:rPr>
        <w:t>משה גפני</w:t>
      </w:r>
      <w:r>
        <w:br/>
      </w:r>
      <w:r>
        <w:rPr>
          <w:rFonts w:hint="cs"/>
          <w:b/>
          <w:bCs/>
          <w:rtl/>
        </w:rPr>
        <w:t xml:space="preserve"> </w:t>
      </w:r>
      <w:r>
        <w:tab/>
      </w:r>
      <w:r>
        <w:tab/>
      </w:r>
      <w:r>
        <w:tab/>
      </w:r>
      <w:r>
        <w:tab/>
      </w:r>
      <w:r>
        <w:rPr>
          <w:rFonts w:hint="cs"/>
          <w:b/>
          <w:bCs/>
          <w:rtl/>
        </w:rPr>
        <w:t>מיקי לוי</w:t>
      </w:r>
      <w:r>
        <w:br/>
      </w:r>
      <w:r>
        <w:rPr>
          <w:rFonts w:hint="cs"/>
          <w:b/>
          <w:bCs/>
          <w:rtl/>
        </w:rPr>
        <w:t xml:space="preserve"> </w:t>
      </w:r>
      <w:r>
        <w:tab/>
      </w:r>
      <w:r>
        <w:tab/>
      </w:r>
      <w:r>
        <w:tab/>
      </w:r>
      <w:r>
        <w:tab/>
      </w:r>
      <w:r>
        <w:rPr>
          <w:rFonts w:hint="cs"/>
          <w:b/>
          <w:bCs/>
          <w:rtl/>
        </w:rPr>
        <w:t>חיים ילין</w:t>
      </w:r>
      <w:r>
        <w:br/>
      </w:r>
      <w:r>
        <w:rPr>
          <w:rFonts w:hint="cs"/>
          <w:b/>
          <w:bCs/>
          <w:rtl/>
        </w:rPr>
        <w:t xml:space="preserve"> </w:t>
      </w:r>
      <w:r>
        <w:tab/>
      </w:r>
      <w:r>
        <w:tab/>
      </w:r>
      <w:r>
        <w:tab/>
      </w:r>
      <w:r>
        <w:tab/>
      </w:r>
      <w:r>
        <w:rPr>
          <w:rFonts w:hint="cs"/>
          <w:b/>
          <w:bCs/>
          <w:rtl/>
        </w:rPr>
        <w:t xml:space="preserve">טלי </w:t>
      </w:r>
      <w:proofErr w:type="spellStart"/>
      <w:r>
        <w:rPr>
          <w:rFonts w:hint="cs"/>
          <w:b/>
          <w:bCs/>
          <w:rtl/>
        </w:rPr>
        <w:t>פלוסקוב</w:t>
      </w:r>
      <w:proofErr w:type="spellEnd"/>
      <w:r>
        <w:br/>
      </w:r>
      <w:r>
        <w:rPr>
          <w:rFonts w:hint="cs"/>
          <w:b/>
          <w:bCs/>
          <w:rtl/>
        </w:rPr>
        <w:t xml:space="preserve"> </w:t>
      </w:r>
      <w:r>
        <w:tab/>
      </w:r>
      <w:r>
        <w:tab/>
      </w:r>
      <w:r>
        <w:tab/>
      </w:r>
      <w:r>
        <w:tab/>
      </w:r>
      <w:r>
        <w:rPr>
          <w:rFonts w:hint="cs"/>
          <w:b/>
          <w:bCs/>
          <w:rtl/>
        </w:rPr>
        <w:t>מירב בן ארי</w:t>
      </w:r>
      <w:r>
        <w:br/>
      </w:r>
      <w:r>
        <w:rPr>
          <w:rFonts w:hint="cs"/>
          <w:b/>
          <w:bCs/>
          <w:rtl/>
        </w:rPr>
        <w:t xml:space="preserve"> </w:t>
      </w:r>
      <w:r>
        <w:tab/>
      </w:r>
      <w:r>
        <w:tab/>
      </w:r>
      <w:r>
        <w:tab/>
      </w:r>
      <w:r>
        <w:tab/>
      </w:r>
      <w:r>
        <w:rPr>
          <w:rFonts w:hint="cs"/>
          <w:b/>
          <w:bCs/>
          <w:rtl/>
        </w:rPr>
        <w:t>ניסן סלומינסקי</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פ/5089/20</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77777777" w:rsidR="00E13C27" w:rsidRDefault="00A443CF" w:rsidP="0021633A">
      <w:pPr>
        <w:pStyle w:val="HeadHatzaotHok"/>
        <w:rPr>
          <w:rtl/>
        </w:rPr>
      </w:pPr>
      <w:bookmarkStart w:id="7" w:name="LGS_Subject"/>
      <w:r>
        <w:rPr>
          <w:rFonts w:hint="cs"/>
          <w:rtl/>
        </w:rPr>
        <w:t xml:space="preserve">הצעת חוק לתיקון פקודת תעריף המכס והפטורים (העלאת רף הפטור ממכס על חפצים ל-400 דולר), </w:t>
      </w:r>
      <w:proofErr w:type="spellStart"/>
      <w:r>
        <w:rPr>
          <w:rFonts w:hint="cs"/>
          <w:rtl/>
        </w:rPr>
        <w:t>התשע"ח</w:t>
      </w:r>
      <w:proofErr w:type="spellEnd"/>
      <w:r>
        <w:rPr>
          <w:rFonts w:hint="cs"/>
          <w:rtl/>
        </w:rPr>
        <w:t>–2018</w:t>
      </w:r>
      <w:bookmarkEnd w:id="7"/>
    </w:p>
    <w:tbl>
      <w:tblPr>
        <w:bidiVisual/>
        <w:tblW w:w="0"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5842E3" w14:paraId="037F7593" w14:textId="77777777" w:rsidTr="005842E3">
        <w:trPr>
          <w:cantSplit/>
        </w:trPr>
        <w:tc>
          <w:tcPr>
            <w:tcW w:w="1871" w:type="dxa"/>
            <w:hideMark/>
          </w:tcPr>
          <w:p w14:paraId="71193ECB" w14:textId="77777777" w:rsidR="005842E3" w:rsidRDefault="005842E3">
            <w:pPr>
              <w:pStyle w:val="TableSideHeading"/>
              <w:keepLines w:val="0"/>
            </w:pPr>
            <w:r>
              <w:rPr>
                <w:rFonts w:hint="cs"/>
                <w:rtl/>
              </w:rPr>
              <w:t>תיקון סעיף 3</w:t>
            </w:r>
          </w:p>
        </w:tc>
        <w:tc>
          <w:tcPr>
            <w:tcW w:w="624" w:type="dxa"/>
            <w:hideMark/>
          </w:tcPr>
          <w:p w14:paraId="708ADD6A" w14:textId="77777777" w:rsidR="005842E3" w:rsidRDefault="005842E3">
            <w:pPr>
              <w:pStyle w:val="TableText"/>
              <w:keepLines w:val="0"/>
              <w:tabs>
                <w:tab w:val="left" w:pos="0"/>
              </w:tabs>
            </w:pPr>
            <w:r>
              <w:rPr>
                <w:rFonts w:hint="cs"/>
                <w:rtl/>
              </w:rPr>
              <w:t xml:space="preserve">1. </w:t>
            </w:r>
            <w:r>
              <w:rPr>
                <w:rFonts w:hint="cs"/>
                <w:rtl/>
              </w:rPr>
              <w:tab/>
            </w:r>
          </w:p>
        </w:tc>
        <w:tc>
          <w:tcPr>
            <w:tcW w:w="7146" w:type="dxa"/>
            <w:hideMark/>
          </w:tcPr>
          <w:p w14:paraId="1A5D2C76" w14:textId="30408168" w:rsidR="005842E3" w:rsidRDefault="005842E3" w:rsidP="00A36D8B">
            <w:pPr>
              <w:pStyle w:val="TableBlock"/>
              <w:rPr>
                <w:color w:val="auto"/>
                <w:rtl/>
              </w:rPr>
            </w:pPr>
            <w:r>
              <w:rPr>
                <w:rFonts w:hint="cs"/>
                <w:sz w:val="26"/>
                <w:rtl/>
              </w:rPr>
              <w:t>בפקודת תעריף המכס והפטורים, 1937</w:t>
            </w:r>
            <w:r>
              <w:rPr>
                <w:sz w:val="26"/>
                <w:vertAlign w:val="superscript"/>
                <w:rtl/>
              </w:rPr>
              <w:footnoteReference w:id="2"/>
            </w:r>
            <w:r w:rsidR="00A36D8B">
              <w:rPr>
                <w:rFonts w:hint="cs"/>
                <w:sz w:val="26"/>
                <w:rtl/>
              </w:rPr>
              <w:t xml:space="preserve"> , בסעיף 3, אחרי סעיף קטן (ב)</w:t>
            </w:r>
            <w:r>
              <w:rPr>
                <w:rFonts w:hint="cs"/>
                <w:sz w:val="26"/>
                <w:rtl/>
              </w:rPr>
              <w:t xml:space="preserve"> יבוא: </w:t>
            </w:r>
          </w:p>
        </w:tc>
      </w:tr>
      <w:tr w:rsidR="005842E3" w14:paraId="780A88ED" w14:textId="77777777" w:rsidTr="005842E3">
        <w:trPr>
          <w:cantSplit/>
        </w:trPr>
        <w:tc>
          <w:tcPr>
            <w:tcW w:w="1871" w:type="dxa"/>
          </w:tcPr>
          <w:p w14:paraId="4BCE3F8D" w14:textId="77777777" w:rsidR="005842E3" w:rsidRDefault="005842E3">
            <w:pPr>
              <w:pStyle w:val="TableSideHeading"/>
              <w:keepLines w:val="0"/>
              <w:rPr>
                <w:rtl/>
              </w:rPr>
            </w:pPr>
          </w:p>
        </w:tc>
        <w:tc>
          <w:tcPr>
            <w:tcW w:w="624" w:type="dxa"/>
          </w:tcPr>
          <w:p w14:paraId="4268D213" w14:textId="77777777" w:rsidR="005842E3" w:rsidRDefault="005842E3">
            <w:pPr>
              <w:pStyle w:val="TableText"/>
              <w:keepLines w:val="0"/>
              <w:tabs>
                <w:tab w:val="left" w:pos="0"/>
              </w:tabs>
              <w:rPr>
                <w:rtl/>
              </w:rPr>
            </w:pPr>
          </w:p>
        </w:tc>
        <w:tc>
          <w:tcPr>
            <w:tcW w:w="7146" w:type="dxa"/>
            <w:hideMark/>
          </w:tcPr>
          <w:p w14:paraId="4A4FF22D" w14:textId="0B94E35C" w:rsidR="005842E3" w:rsidRDefault="005842E3" w:rsidP="005842E3">
            <w:pPr>
              <w:pStyle w:val="TableBlock"/>
              <w:rPr>
                <w:sz w:val="26"/>
                <w:rtl/>
              </w:rPr>
            </w:pPr>
            <w:r>
              <w:rPr>
                <w:rFonts w:hint="cs"/>
                <w:sz w:val="26"/>
                <w:rtl/>
              </w:rPr>
              <w:t>"(ג)</w:t>
            </w:r>
            <w:r>
              <w:rPr>
                <w:rFonts w:hint="cs"/>
                <w:sz w:val="26"/>
                <w:rtl/>
              </w:rPr>
              <w:tab/>
              <w:t>על אף האמור בסעיפים קטנים (א) ו-(ב), חפצים שערכם הכולל בשקלים</w:t>
            </w:r>
            <w:r w:rsidR="00356F1F">
              <w:rPr>
                <w:rFonts w:hint="cs"/>
                <w:sz w:val="26"/>
                <w:rtl/>
              </w:rPr>
              <w:t xml:space="preserve"> חדשים</w:t>
            </w:r>
            <w:r>
              <w:rPr>
                <w:rFonts w:hint="cs"/>
                <w:sz w:val="26"/>
                <w:rtl/>
              </w:rPr>
              <w:t xml:space="preserve"> אינו עולה על</w:t>
            </w:r>
            <w:r w:rsidR="00356F1F">
              <w:rPr>
                <w:rFonts w:hint="cs"/>
                <w:sz w:val="26"/>
                <w:rtl/>
              </w:rPr>
              <w:t xml:space="preserve"> סכום השווה ל-400 דולר של ארצות </w:t>
            </w:r>
            <w:r>
              <w:rPr>
                <w:rFonts w:hint="cs"/>
                <w:sz w:val="26"/>
                <w:rtl/>
              </w:rPr>
              <w:t>הברית של אמריקה, יהיו פטורים מתשלום מסי המכס אם יובאו עם הנכנס והם מיועדים לשימושו העצמי או יינתנו במתנה לאדם אחר לשימושו העצמי, ובלבד שהפטור לא יינתן על חפץ שערכו בשקלים</w:t>
            </w:r>
            <w:r w:rsidR="00356F1F">
              <w:rPr>
                <w:rFonts w:hint="cs"/>
                <w:sz w:val="26"/>
                <w:rtl/>
              </w:rPr>
              <w:t xml:space="preserve"> חדשים</w:t>
            </w:r>
            <w:r>
              <w:rPr>
                <w:rFonts w:hint="cs"/>
                <w:sz w:val="26"/>
                <w:rtl/>
              </w:rPr>
              <w:t xml:space="preserve"> ליחידה עולה על</w:t>
            </w:r>
            <w:r w:rsidR="00356F1F">
              <w:rPr>
                <w:rFonts w:hint="cs"/>
                <w:sz w:val="26"/>
                <w:rtl/>
              </w:rPr>
              <w:t xml:space="preserve"> סכום השווה ל-200 דולר של ארצות </w:t>
            </w:r>
            <w:r>
              <w:rPr>
                <w:rFonts w:hint="cs"/>
                <w:sz w:val="26"/>
                <w:rtl/>
              </w:rPr>
              <w:t>הברית של אמריקה; הפטור יינתן לכל נכנס שגילו שנתיים ומעלה."</w:t>
            </w:r>
          </w:p>
        </w:tc>
      </w:tr>
    </w:tbl>
    <w:p w14:paraId="7F6961CA" w14:textId="77777777" w:rsidR="002D1EE3" w:rsidRDefault="002D1EE3" w:rsidP="002D1EE3">
      <w:pPr>
        <w:pStyle w:val="HeadDivreiHesber"/>
        <w:rPr>
          <w:rtl/>
        </w:rPr>
      </w:pPr>
      <w:r w:rsidRPr="0027450A">
        <w:rPr>
          <w:rFonts w:hint="cs"/>
          <w:rtl/>
        </w:rPr>
        <w:t>דברי הסבר</w:t>
      </w:r>
    </w:p>
    <w:p w14:paraId="6F3B8E44" w14:textId="2B1B6226" w:rsidR="005842E3" w:rsidRDefault="005842E3" w:rsidP="00356F1F">
      <w:pPr>
        <w:pStyle w:val="Hesber"/>
      </w:pPr>
      <w:r>
        <w:rPr>
          <w:rFonts w:hint="cs"/>
          <w:rtl/>
        </w:rPr>
        <w:t xml:space="preserve">צו תעריף המכס והפטורים קובע כי אדם הנכנס לישראל זכאי לפטור ממכס לחפצים </w:t>
      </w:r>
      <w:proofErr w:type="spellStart"/>
      <w:r w:rsidR="00356F1F">
        <w:rPr>
          <w:rFonts w:hint="cs"/>
          <w:rtl/>
        </w:rPr>
        <w:t>ש</w:t>
      </w:r>
      <w:r>
        <w:rPr>
          <w:rFonts w:hint="cs"/>
          <w:rtl/>
        </w:rPr>
        <w:t>שווי</w:t>
      </w:r>
      <w:r w:rsidR="00356F1F">
        <w:rPr>
          <w:rFonts w:hint="cs"/>
          <w:rtl/>
        </w:rPr>
        <w:t>י</w:t>
      </w:r>
      <w:r>
        <w:rPr>
          <w:rFonts w:hint="cs"/>
          <w:rtl/>
        </w:rPr>
        <w:t>ם</w:t>
      </w:r>
      <w:proofErr w:type="spellEnd"/>
      <w:r>
        <w:rPr>
          <w:rFonts w:hint="cs"/>
          <w:rtl/>
        </w:rPr>
        <w:t xml:space="preserve"> אינו עולה על 200 דולר</w:t>
      </w:r>
      <w:r w:rsidR="00356F1F">
        <w:rPr>
          <w:rFonts w:hint="cs"/>
          <w:rtl/>
        </w:rPr>
        <w:t xml:space="preserve"> של ארצות הברית של אמריקה</w:t>
      </w:r>
      <w:r>
        <w:rPr>
          <w:rFonts w:hint="cs"/>
          <w:rtl/>
        </w:rPr>
        <w:t xml:space="preserve">. לגבי חפצים </w:t>
      </w:r>
      <w:proofErr w:type="spellStart"/>
      <w:r>
        <w:rPr>
          <w:rFonts w:hint="cs"/>
          <w:rtl/>
        </w:rPr>
        <w:t>ששווי</w:t>
      </w:r>
      <w:r w:rsidR="00356F1F">
        <w:rPr>
          <w:rFonts w:hint="cs"/>
          <w:rtl/>
        </w:rPr>
        <w:t>י</w:t>
      </w:r>
      <w:r>
        <w:rPr>
          <w:rFonts w:hint="cs"/>
          <w:rtl/>
        </w:rPr>
        <w:t>ם</w:t>
      </w:r>
      <w:proofErr w:type="spellEnd"/>
      <w:r>
        <w:rPr>
          <w:rFonts w:hint="cs"/>
          <w:rtl/>
        </w:rPr>
        <w:t xml:space="preserve"> עולה על הסכום האמור, נדרשת הצהרה של הנכנס לישראל ותשלום המכס.</w:t>
      </w:r>
    </w:p>
    <w:p w14:paraId="5ACDC9E7" w14:textId="77777777" w:rsidR="005842E3" w:rsidRDefault="005842E3" w:rsidP="005842E3">
      <w:pPr>
        <w:pStyle w:val="Hesber"/>
      </w:pPr>
      <w:r>
        <w:rPr>
          <w:rFonts w:hint="cs"/>
          <w:rtl/>
        </w:rPr>
        <w:t>ואולם, בפועל, גביית מסי המכס על חפצים כאמור אינה נאכפת על ידי רשויות המדינה, כיוון שמדובר בחפצים בעלי ערך נמוך יחסית, שעליהם רבים מאזרחי ישראל נמנעים מלהצהיר ולשלם.</w:t>
      </w:r>
    </w:p>
    <w:p w14:paraId="23C77EDB" w14:textId="5EE2622C" w:rsidR="005842E3" w:rsidRDefault="005842E3" w:rsidP="00356F1F">
      <w:pPr>
        <w:pStyle w:val="Hesber"/>
        <w:rPr>
          <w:rtl/>
        </w:rPr>
      </w:pPr>
      <w:r>
        <w:rPr>
          <w:rFonts w:hint="cs"/>
          <w:rtl/>
        </w:rPr>
        <w:lastRenderedPageBreak/>
        <w:t>כדי למנוע מצב זה, מוצע להעלות את שווי החפצים החייבים במכס למעל 400 דולר</w:t>
      </w:r>
      <w:r w:rsidR="00356F1F">
        <w:rPr>
          <w:rFonts w:hint="cs"/>
          <w:rtl/>
        </w:rPr>
        <w:t xml:space="preserve"> של ארצות הברית של אמריקה</w:t>
      </w:r>
      <w:r>
        <w:rPr>
          <w:rFonts w:hint="cs"/>
          <w:rtl/>
        </w:rPr>
        <w:t xml:space="preserve">, ובאופן זה לעודד את אזרחי ישראל להצהיר על החפצים שאיתם הם נכנסים ארצה ולשמור על הכנסות המדינה ועל יכולתה לאכוף את הפטור כאמור. </w:t>
      </w:r>
    </w:p>
    <w:p w14:paraId="375A6C87" w14:textId="34F86A9E" w:rsidR="005842E3" w:rsidRDefault="005842E3" w:rsidP="00431E81">
      <w:pPr>
        <w:pStyle w:val="Hesber"/>
        <w:rPr>
          <w:rtl/>
        </w:rPr>
      </w:pPr>
      <w:r>
        <w:rPr>
          <w:rFonts w:hint="cs"/>
          <w:rtl/>
        </w:rPr>
        <w:t>הצע</w:t>
      </w:r>
      <w:r w:rsidR="00356F1F">
        <w:rPr>
          <w:rFonts w:hint="cs"/>
          <w:rtl/>
        </w:rPr>
        <w:t>ו</w:t>
      </w:r>
      <w:r>
        <w:rPr>
          <w:rFonts w:hint="cs"/>
          <w:rtl/>
        </w:rPr>
        <w:t xml:space="preserve">ת חוק </w:t>
      </w:r>
      <w:r w:rsidR="00A36D8B">
        <w:rPr>
          <w:rFonts w:hint="cs"/>
          <w:rtl/>
        </w:rPr>
        <w:t>דומ</w:t>
      </w:r>
      <w:r w:rsidR="00356F1F">
        <w:rPr>
          <w:rFonts w:hint="cs"/>
          <w:rtl/>
        </w:rPr>
        <w:t>ות</w:t>
      </w:r>
      <w:r w:rsidR="00A36D8B">
        <w:rPr>
          <w:rFonts w:hint="cs"/>
          <w:rtl/>
        </w:rPr>
        <w:t xml:space="preserve"> בעיקר</w:t>
      </w:r>
      <w:r w:rsidR="00356F1F">
        <w:rPr>
          <w:rFonts w:hint="cs"/>
          <w:rtl/>
        </w:rPr>
        <w:t>ן</w:t>
      </w:r>
      <w:r>
        <w:rPr>
          <w:rFonts w:hint="cs"/>
          <w:rtl/>
        </w:rPr>
        <w:t xml:space="preserve"> הונח</w:t>
      </w:r>
      <w:r w:rsidR="00356F1F">
        <w:rPr>
          <w:rFonts w:hint="cs"/>
          <w:rtl/>
        </w:rPr>
        <w:t>ו</w:t>
      </w:r>
      <w:r>
        <w:rPr>
          <w:rFonts w:hint="cs"/>
          <w:rtl/>
        </w:rPr>
        <w:t xml:space="preserve"> על שולחן הכנסת התשע-עשרה על ידי חברי הכנסת אלעזר שטרן ומאיר פרוש (פ/2904/19)</w:t>
      </w:r>
      <w:r w:rsidR="00B97405">
        <w:rPr>
          <w:rFonts w:hint="cs"/>
          <w:rtl/>
        </w:rPr>
        <w:t>,</w:t>
      </w:r>
      <w:r>
        <w:rPr>
          <w:rFonts w:hint="cs"/>
          <w:rtl/>
        </w:rPr>
        <w:t xml:space="preserve"> ועל שולחן הכנסת העשרים על ידי חבר הכנסת אלעזר שטרן (פ/2583/20)</w:t>
      </w:r>
      <w:r w:rsidR="00A36D8B">
        <w:rPr>
          <w:rFonts w:hint="cs"/>
          <w:rtl/>
        </w:rPr>
        <w:t>, ועל ידי חבר הכנסת אלעזר שטרן וקבוצת חברי הכנסת (פ/</w:t>
      </w:r>
      <w:r w:rsidR="00431E81">
        <w:rPr>
          <w:rFonts w:hint="cs"/>
          <w:rtl/>
        </w:rPr>
        <w:t>5088/20</w:t>
      </w:r>
      <w:r w:rsidR="00A36D8B">
        <w:rPr>
          <w:rFonts w:hint="cs"/>
          <w:rtl/>
        </w:rPr>
        <w:t>)</w:t>
      </w:r>
      <w:r>
        <w:rPr>
          <w:rFonts w:hint="cs"/>
          <w:rtl/>
        </w:rPr>
        <w:t>.</w:t>
      </w:r>
    </w:p>
    <w:p w14:paraId="025460A6" w14:textId="77777777" w:rsidR="001E67CF" w:rsidRDefault="001E67CF" w:rsidP="001E67CF">
      <w:pPr>
        <w:pStyle w:val="Hesber"/>
        <w:rPr>
          <w:rtl/>
        </w:rPr>
      </w:pPr>
      <w:r>
        <w:rPr>
          <w:rtl/>
        </w:rPr>
        <w:t>---------------------------------</w:t>
      </w:r>
    </w:p>
    <w:p w14:paraId="7A0C7859" w14:textId="77777777" w:rsidR="001E67CF" w:rsidRDefault="001E67CF" w:rsidP="001E67CF">
      <w:pPr>
        <w:pStyle w:val="Hesber"/>
        <w:rPr>
          <w:rtl/>
        </w:rPr>
      </w:pPr>
      <w:r>
        <w:rPr>
          <w:rtl/>
        </w:rPr>
        <w:t>הוגשה ליו"ר הכנסת והסגנים</w:t>
      </w:r>
    </w:p>
    <w:p w14:paraId="4B71E971" w14:textId="77777777" w:rsidR="001E67CF" w:rsidRDefault="001E67CF" w:rsidP="001E67CF">
      <w:pPr>
        <w:pStyle w:val="Hesber"/>
        <w:rPr>
          <w:rtl/>
        </w:rPr>
      </w:pPr>
      <w:r>
        <w:rPr>
          <w:rtl/>
        </w:rPr>
        <w:t>והונחה על שולחן הכנסת ביום</w:t>
      </w:r>
    </w:p>
    <w:p w14:paraId="6C156F3C" w14:textId="7A3D39B5" w:rsidR="001E67CF" w:rsidRDefault="001E67CF" w:rsidP="00B5067B">
      <w:pPr>
        <w:pStyle w:val="Hesber"/>
        <w:rPr>
          <w:rtl/>
        </w:rPr>
      </w:pPr>
      <w:r>
        <w:rPr>
          <w:rtl/>
        </w:rPr>
        <w:t xml:space="preserve">כ' בשבט </w:t>
      </w:r>
      <w:proofErr w:type="spellStart"/>
      <w:r>
        <w:rPr>
          <w:rtl/>
        </w:rPr>
        <w:t>התשע"ח</w:t>
      </w:r>
      <w:proofErr w:type="spellEnd"/>
      <w:r>
        <w:rPr>
          <w:rtl/>
        </w:rPr>
        <w:t xml:space="preserve"> </w:t>
      </w:r>
      <w:r w:rsidR="00B5067B">
        <w:rPr>
          <w:rFonts w:hint="cs"/>
          <w:rtl/>
        </w:rPr>
        <w:t>–</w:t>
      </w:r>
      <w:bookmarkStart w:id="8" w:name="_GoBack"/>
      <w:bookmarkEnd w:id="8"/>
      <w:r>
        <w:rPr>
          <w:rtl/>
        </w:rPr>
        <w:t xml:space="preserve"> 5.2.18</w:t>
      </w:r>
    </w:p>
    <w:p w14:paraId="7F6961CB" w14:textId="77777777" w:rsidR="00E13C27" w:rsidRDefault="00E13C27" w:rsidP="00E13C27">
      <w:pPr>
        <w:pStyle w:val="Hesber"/>
        <w:rPr>
          <w:rtl/>
        </w:rPr>
      </w:pPr>
    </w:p>
    <w:sectPr w:rsidR="00E13C2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B5067B">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2EC36EB9" w14:textId="77777777" w:rsidR="005842E3" w:rsidRDefault="005842E3" w:rsidP="005842E3">
      <w:pPr>
        <w:pStyle w:val="a4"/>
        <w:rPr>
          <w:rtl/>
        </w:rPr>
      </w:pPr>
      <w:r>
        <w:rPr>
          <w:rStyle w:val="a6"/>
        </w:rPr>
        <w:footnoteRef/>
      </w:r>
      <w:r>
        <w:rPr>
          <w:rFonts w:hint="cs"/>
          <w:sz w:val="20"/>
          <w:rtl/>
        </w:rPr>
        <w:t xml:space="preserve"> </w:t>
      </w:r>
      <w:proofErr w:type="spellStart"/>
      <w:r>
        <w:rPr>
          <w:rFonts w:hint="cs"/>
          <w:sz w:val="20"/>
          <w:rtl/>
        </w:rPr>
        <w:t>ע"ר</w:t>
      </w:r>
      <w:proofErr w:type="spellEnd"/>
      <w:r>
        <w:rPr>
          <w:rFonts w:hint="cs"/>
          <w:sz w:val="20"/>
          <w:rtl/>
        </w:rPr>
        <w:t xml:space="preserve"> 1937, </w:t>
      </w:r>
      <w:proofErr w:type="spellStart"/>
      <w:r>
        <w:rPr>
          <w:rFonts w:hint="cs"/>
          <w:sz w:val="20"/>
          <w:rtl/>
        </w:rPr>
        <w:t>תוס</w:t>
      </w:r>
      <w:proofErr w:type="spellEnd"/>
      <w:r>
        <w:rPr>
          <w:rFonts w:hint="cs"/>
          <w:sz w:val="20"/>
          <w:rtl/>
        </w:rPr>
        <w:t>' 1, עמ' (ע) 183, (א) 215.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1E67C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56F1F"/>
    <w:rsid w:val="0036422C"/>
    <w:rsid w:val="003710F6"/>
    <w:rsid w:val="00386E88"/>
    <w:rsid w:val="00396585"/>
    <w:rsid w:val="003D6E38"/>
    <w:rsid w:val="003D74A0"/>
    <w:rsid w:val="004033D8"/>
    <w:rsid w:val="004073F0"/>
    <w:rsid w:val="00412A7D"/>
    <w:rsid w:val="00416B4D"/>
    <w:rsid w:val="00417CFC"/>
    <w:rsid w:val="00431E81"/>
    <w:rsid w:val="004A06DC"/>
    <w:rsid w:val="004B24ED"/>
    <w:rsid w:val="004B6625"/>
    <w:rsid w:val="004D2D82"/>
    <w:rsid w:val="004D3876"/>
    <w:rsid w:val="004E4552"/>
    <w:rsid w:val="004E6CDF"/>
    <w:rsid w:val="00553C9D"/>
    <w:rsid w:val="00562A66"/>
    <w:rsid w:val="005842E3"/>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36D8B"/>
    <w:rsid w:val="00A443CF"/>
    <w:rsid w:val="00A6611D"/>
    <w:rsid w:val="00A82CB7"/>
    <w:rsid w:val="00A942C1"/>
    <w:rsid w:val="00AA2F03"/>
    <w:rsid w:val="00AC36F7"/>
    <w:rsid w:val="00AC63A4"/>
    <w:rsid w:val="00AD239E"/>
    <w:rsid w:val="00B10265"/>
    <w:rsid w:val="00B16A99"/>
    <w:rsid w:val="00B21211"/>
    <w:rsid w:val="00B35784"/>
    <w:rsid w:val="00B5067B"/>
    <w:rsid w:val="00B733A7"/>
    <w:rsid w:val="00B75C91"/>
    <w:rsid w:val="00B97405"/>
    <w:rsid w:val="00B975AD"/>
    <w:rsid w:val="00BB02D8"/>
    <w:rsid w:val="00BC45FB"/>
    <w:rsid w:val="00BF148D"/>
    <w:rsid w:val="00C23B1A"/>
    <w:rsid w:val="00C310EB"/>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semiHidden/>
    <w:rsid w:val="005842E3"/>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026773">
      <w:bodyDiv w:val="1"/>
      <w:marLeft w:val="0"/>
      <w:marRight w:val="0"/>
      <w:marTop w:val="0"/>
      <w:marBottom w:val="0"/>
      <w:divBdr>
        <w:top w:val="none" w:sz="0" w:space="0" w:color="auto"/>
        <w:left w:val="none" w:sz="0" w:space="0" w:color="auto"/>
        <w:bottom w:val="none" w:sz="0" w:space="0" w:color="auto"/>
        <w:right w:val="none" w:sz="0" w:space="0" w:color="auto"/>
      </w:divBdr>
    </w:div>
    <w:div w:id="1674380677">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638B23E-68BF-444C-9691-50ACD0CD8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F2CCBC-68D4-48F0-894D-B1636CC0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1572</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אילת וולברג</cp:lastModifiedBy>
  <cp:revision>10</cp:revision>
  <cp:lastPrinted>2018-02-01T07:43:00Z</cp:lastPrinted>
  <dcterms:created xsi:type="dcterms:W3CDTF">2015-04-20T09:58:00Z</dcterms:created>
  <dcterms:modified xsi:type="dcterms:W3CDTF">2018-02-01T07:44:00Z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2064857</vt:r8>
  </property>
</Properties>
</file>