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2064129</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A" w14:textId="7DCACB2C" w:rsidR="00E13C27" w:rsidRPr="00CF1AA2" w:rsidRDefault="008F6665" w:rsidP="00691869">
      <w:pPr>
        <w:pStyle w:val="David"/>
        <w:spacing w:line="360" w:lineRule="auto"/>
        <w:ind w:left="3544"/>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יאיר לפיד</w:t>
      </w:r>
      <w:r>
        <w:br/>
      </w:r>
      <w:r>
        <w:rPr>
          <w:rFonts w:hint="cs"/>
          <w:b/>
          <w:bCs/>
          <w:rtl/>
        </w:rPr>
        <w:t xml:space="preserve"> </w:t>
      </w:r>
      <w:r>
        <w:tab/>
      </w:r>
      <w:r>
        <w:tab/>
      </w:r>
      <w:r>
        <w:tab/>
      </w:r>
      <w:r>
        <w:tab/>
      </w:r>
      <w:r>
        <w:rPr>
          <w:rFonts w:hint="cs"/>
          <w:b/>
          <w:bCs/>
          <w:rtl/>
        </w:rPr>
        <w:t>יעל גרמן</w:t>
      </w:r>
      <w:r>
        <w:br/>
      </w:r>
      <w:r>
        <w:rPr>
          <w:rFonts w:hint="cs"/>
          <w:b/>
          <w:bCs/>
          <w:rtl/>
        </w:rPr>
        <w:t xml:space="preserve"> </w:t>
      </w:r>
      <w:r>
        <w:tab/>
      </w:r>
      <w:r>
        <w:tab/>
      </w:r>
      <w:r>
        <w:tab/>
      </w:r>
      <w:r>
        <w:tab/>
      </w:r>
      <w:r>
        <w:rPr>
          <w:rFonts w:hint="cs"/>
          <w:b/>
          <w:bCs/>
          <w:rtl/>
        </w:rPr>
        <w:t>מאיר כהן</w:t>
      </w:r>
      <w:r>
        <w:br/>
      </w:r>
      <w:r>
        <w:rPr>
          <w:rFonts w:hint="cs"/>
          <w:b/>
          <w:bCs/>
          <w:rtl/>
        </w:rPr>
        <w:t xml:space="preserve"> </w:t>
      </w:r>
      <w:r>
        <w:tab/>
      </w:r>
      <w:r>
        <w:tab/>
      </w:r>
      <w:r>
        <w:tab/>
      </w:r>
      <w:r>
        <w:tab/>
      </w:r>
      <w:r>
        <w:rPr>
          <w:rFonts w:hint="cs"/>
          <w:b/>
          <w:bCs/>
          <w:rtl/>
        </w:rPr>
        <w:t>יעקב פרי</w:t>
      </w:r>
      <w:r>
        <w:br/>
      </w:r>
      <w:r>
        <w:rPr>
          <w:rFonts w:hint="cs"/>
          <w:b/>
          <w:bCs/>
          <w:rtl/>
        </w:rPr>
        <w:t xml:space="preserve"> </w:t>
      </w:r>
      <w:r>
        <w:tab/>
      </w:r>
      <w:r>
        <w:tab/>
      </w:r>
      <w:r>
        <w:tab/>
      </w:r>
      <w:r>
        <w:tab/>
      </w:r>
      <w:r>
        <w:rPr>
          <w:rFonts w:hint="cs"/>
          <w:b/>
          <w:bCs/>
          <w:rtl/>
        </w:rPr>
        <w:t>עפר שלח</w:t>
      </w:r>
      <w:r>
        <w:br/>
      </w:r>
      <w:r>
        <w:rPr>
          <w:rFonts w:hint="cs"/>
          <w:b/>
          <w:bCs/>
          <w:rtl/>
        </w:rPr>
        <w:t xml:space="preserve"> </w:t>
      </w:r>
      <w:r>
        <w:tab/>
      </w:r>
      <w:r>
        <w:tab/>
      </w:r>
      <w:r>
        <w:tab/>
      </w:r>
      <w:r>
        <w:tab/>
      </w:r>
      <w:r>
        <w:rPr>
          <w:rFonts w:hint="cs"/>
          <w:b/>
          <w:bCs/>
          <w:rtl/>
        </w:rPr>
        <w:t>חיים ילין</w:t>
      </w:r>
      <w:r>
        <w:br/>
      </w:r>
      <w:r>
        <w:rPr>
          <w:rFonts w:hint="cs"/>
          <w:b/>
          <w:bCs/>
          <w:rtl/>
        </w:rPr>
        <w:t xml:space="preserve"> </w:t>
      </w:r>
      <w:r>
        <w:tab/>
      </w:r>
      <w:r>
        <w:tab/>
      </w:r>
      <w:r>
        <w:tab/>
      </w:r>
      <w:r>
        <w:tab/>
      </w:r>
      <w:r>
        <w:rPr>
          <w:rFonts w:hint="cs"/>
          <w:b/>
          <w:bCs/>
          <w:rtl/>
        </w:rPr>
        <w:t>קארין אלהרר</w:t>
      </w:r>
      <w:r>
        <w:br/>
      </w:r>
      <w:r>
        <w:rPr>
          <w:rFonts w:hint="cs"/>
          <w:b/>
          <w:bCs/>
          <w:rtl/>
        </w:rPr>
        <w:t xml:space="preserve"> </w:t>
      </w:r>
      <w:r>
        <w:tab/>
      </w:r>
      <w:r>
        <w:tab/>
      </w:r>
      <w:r>
        <w:tab/>
      </w:r>
      <w:r>
        <w:tab/>
      </w:r>
      <w:r>
        <w:rPr>
          <w:rFonts w:hint="cs"/>
          <w:b/>
          <w:bCs/>
          <w:rtl/>
        </w:rPr>
        <w:t>יואל רזבוזוב</w:t>
      </w:r>
      <w:r>
        <w:br/>
      </w:r>
      <w:r>
        <w:rPr>
          <w:rFonts w:hint="cs"/>
          <w:b/>
          <w:bCs/>
          <w:rtl/>
        </w:rPr>
        <w:t xml:space="preserve"> </w:t>
      </w:r>
      <w:r>
        <w:tab/>
      </w:r>
      <w:r>
        <w:tab/>
      </w:r>
      <w:r>
        <w:tab/>
      </w:r>
      <w:r>
        <w:tab/>
      </w:r>
      <w:r>
        <w:rPr>
          <w:rFonts w:hint="cs"/>
          <w:b/>
          <w:bCs/>
          <w:rtl/>
        </w:rPr>
        <w:t>עליזה לביא</w:t>
      </w:r>
      <w:r>
        <w:br/>
      </w:r>
      <w:r>
        <w:rPr>
          <w:rFonts w:hint="cs"/>
          <w:b/>
          <w:bCs/>
          <w:rtl/>
        </w:rPr>
        <w:t xml:space="preserve"> </w:t>
      </w:r>
      <w:r>
        <w:tab/>
      </w:r>
      <w:r>
        <w:tab/>
      </w:r>
      <w:r>
        <w:tab/>
      </w:r>
      <w:r>
        <w:tab/>
      </w:r>
      <w:r>
        <w:rPr>
          <w:rFonts w:hint="cs"/>
          <w:b/>
          <w:bCs/>
          <w:rtl/>
        </w:rPr>
        <w:t>מיקי לוי</w:t>
      </w:r>
      <w:r>
        <w:br/>
      </w:r>
      <w:r>
        <w:rPr>
          <w:rFonts w:hint="cs"/>
          <w:b/>
          <w:bCs/>
          <w:rtl/>
        </w:rPr>
        <w:t xml:space="preserve"> </w:t>
      </w:r>
      <w:r>
        <w:tab/>
      </w:r>
      <w:r>
        <w:tab/>
      </w:r>
      <w:r>
        <w:tab/>
      </w:r>
      <w:r>
        <w:tab/>
      </w:r>
      <w:r>
        <w:rPr>
          <w:rFonts w:hint="cs"/>
          <w:b/>
          <w:bCs/>
          <w:rtl/>
        </w:rPr>
        <w:t>אלעזר שטרן</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פ/5063/20</w:t>
      </w:r>
      <w:bookmarkEnd w:id="6"/>
    </w:p>
    <w:p w14:paraId="7F6961AC" w14:textId="77777777" w:rsidR="00E13C27" w:rsidRDefault="00E13C27" w:rsidP="00E13C27">
      <w:pPr>
        <w:spacing w:before="0" w:line="360" w:lineRule="auto"/>
        <w:ind w:left="2880" w:firstLine="720"/>
        <w:rPr>
          <w:rFonts w:cs="David"/>
          <w:sz w:val="26"/>
          <w:szCs w:val="26"/>
          <w:rtl/>
        </w:rPr>
      </w:pPr>
    </w:p>
    <w:p w14:paraId="123EE2EA" w14:textId="77777777" w:rsidR="00F604F3" w:rsidRPr="00E67F51" w:rsidRDefault="00F604F3" w:rsidP="00F604F3">
      <w:pPr>
        <w:pStyle w:val="HeadHatzaotHok"/>
        <w:rPr>
          <w:rtl/>
        </w:rPr>
      </w:pPr>
      <w:bookmarkStart w:id="7" w:name="LGS_Subject"/>
      <w:r>
        <w:rPr>
          <w:rFonts w:hint="cs"/>
          <w:rtl/>
        </w:rPr>
        <w:t xml:space="preserve">הצעת </w:t>
      </w:r>
      <w:r>
        <w:rPr>
          <w:rtl/>
        </w:rPr>
        <w:t xml:space="preserve">חוק לתיקון דיני הרשויות המקומיות </w:t>
      </w:r>
      <w:r>
        <w:rPr>
          <w:rFonts w:hint="cs"/>
          <w:rtl/>
        </w:rPr>
        <w:t xml:space="preserve">(ביטול סמכות שר הפנים לעניין </w:t>
      </w:r>
      <w:r>
        <w:rPr>
          <w:rtl/>
        </w:rPr>
        <w:t xml:space="preserve">חוקי עזר </w:t>
      </w:r>
      <w:r>
        <w:rPr>
          <w:rFonts w:hint="cs"/>
          <w:rtl/>
        </w:rPr>
        <w:t xml:space="preserve">בדבר </w:t>
      </w:r>
      <w:r>
        <w:rPr>
          <w:rtl/>
        </w:rPr>
        <w:t>פתיחתם וסגירתם של עסקים בימי מנוח</w:t>
      </w:r>
      <w:r>
        <w:rPr>
          <w:rFonts w:hint="cs"/>
          <w:rtl/>
        </w:rPr>
        <w:t xml:space="preserve">ה), </w:t>
      </w:r>
      <w:proofErr w:type="spellStart"/>
      <w:r>
        <w:rPr>
          <w:rFonts w:hint="cs"/>
          <w:rtl/>
        </w:rPr>
        <w:t>התשע"ח</w:t>
      </w:r>
      <w:proofErr w:type="spellEnd"/>
      <w:r>
        <w:rPr>
          <w:rFonts w:hint="eastAsia"/>
          <w:rtl/>
        </w:rPr>
        <w:t>–</w:t>
      </w:r>
      <w:r>
        <w:rPr>
          <w:rFonts w:hint="cs"/>
          <w:rtl/>
        </w:rPr>
        <w:t>2018</w:t>
      </w: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3"/>
      </w:tblGrid>
      <w:tr w:rsidR="00F604F3" w:rsidRPr="0060558E" w14:paraId="4D7441EC" w14:textId="77777777" w:rsidTr="00074291">
        <w:trPr>
          <w:cantSplit/>
        </w:trPr>
        <w:tc>
          <w:tcPr>
            <w:tcW w:w="1871" w:type="dxa"/>
            <w:shd w:val="clear" w:color="auto" w:fill="auto"/>
          </w:tcPr>
          <w:p w14:paraId="1193EF6C" w14:textId="77777777" w:rsidR="00F604F3" w:rsidRPr="00F57982" w:rsidRDefault="00F604F3" w:rsidP="00074291">
            <w:pPr>
              <w:pStyle w:val="TableSideHeading"/>
              <w:ind w:right="0"/>
              <w:rPr>
                <w:rtl/>
              </w:rPr>
            </w:pPr>
            <w:r w:rsidRPr="00F57982">
              <w:rPr>
                <w:rFonts w:hint="eastAsia"/>
                <w:rtl/>
              </w:rPr>
              <w:t>תיקון</w:t>
            </w:r>
            <w:r w:rsidRPr="00F57982">
              <w:rPr>
                <w:rtl/>
              </w:rPr>
              <w:t xml:space="preserve"> </w:t>
            </w:r>
            <w:r w:rsidRPr="00F57982">
              <w:rPr>
                <w:rFonts w:hint="eastAsia"/>
                <w:rtl/>
              </w:rPr>
              <w:t>פקודת</w:t>
            </w:r>
            <w:r w:rsidRPr="00F57982">
              <w:rPr>
                <w:rtl/>
              </w:rPr>
              <w:t xml:space="preserve"> </w:t>
            </w:r>
            <w:r w:rsidRPr="00F57982">
              <w:rPr>
                <w:rFonts w:hint="eastAsia"/>
                <w:rtl/>
              </w:rPr>
              <w:t>העיריות</w:t>
            </w:r>
            <w:r>
              <w:rPr>
                <w:rFonts w:hint="cs"/>
                <w:rtl/>
              </w:rPr>
              <w:t xml:space="preserve"> </w:t>
            </w:r>
          </w:p>
        </w:tc>
        <w:tc>
          <w:tcPr>
            <w:tcW w:w="624" w:type="dxa"/>
            <w:shd w:val="clear" w:color="auto" w:fill="auto"/>
          </w:tcPr>
          <w:p w14:paraId="7354AF7D" w14:textId="77777777" w:rsidR="00F604F3" w:rsidRPr="0060558E" w:rsidRDefault="00F604F3" w:rsidP="00074291">
            <w:pPr>
              <w:pStyle w:val="TableText"/>
              <w:ind w:right="0"/>
              <w:jc w:val="both"/>
              <w:rPr>
                <w:rtl/>
              </w:rPr>
            </w:pPr>
            <w:r w:rsidRPr="0060558E">
              <w:rPr>
                <w:rtl/>
              </w:rPr>
              <w:t>1.</w:t>
            </w:r>
            <w:r w:rsidRPr="0060558E">
              <w:rPr>
                <w:rtl/>
              </w:rPr>
              <w:tab/>
            </w:r>
          </w:p>
        </w:tc>
        <w:tc>
          <w:tcPr>
            <w:tcW w:w="7143" w:type="dxa"/>
            <w:shd w:val="clear" w:color="auto" w:fill="auto"/>
          </w:tcPr>
          <w:p w14:paraId="12DD4387" w14:textId="77777777" w:rsidR="00F604F3" w:rsidRPr="0060558E" w:rsidRDefault="00F604F3" w:rsidP="00074291">
            <w:pPr>
              <w:pStyle w:val="TableBlock"/>
              <w:rPr>
                <w:rtl/>
              </w:rPr>
            </w:pPr>
            <w:r w:rsidRPr="0060558E">
              <w:rPr>
                <w:rFonts w:hint="eastAsia"/>
                <w:rtl/>
              </w:rPr>
              <w:t>בפקודת</w:t>
            </w:r>
            <w:r w:rsidRPr="0060558E">
              <w:rPr>
                <w:rtl/>
              </w:rPr>
              <w:t xml:space="preserve"> </w:t>
            </w:r>
            <w:r w:rsidRPr="0060558E">
              <w:rPr>
                <w:rFonts w:hint="eastAsia"/>
                <w:rtl/>
              </w:rPr>
              <w:t>העיריות‏</w:t>
            </w:r>
            <w:r w:rsidRPr="00772096">
              <w:rPr>
                <w:vertAlign w:val="superscript"/>
                <w:rtl/>
              </w:rPr>
              <w:footnoteReference w:id="2"/>
            </w:r>
            <w:r w:rsidRPr="0060558E">
              <w:rPr>
                <w:rFonts w:hint="cs"/>
                <w:rtl/>
              </w:rPr>
              <w:t xml:space="preserve"> </w:t>
            </w:r>
            <w:r w:rsidRPr="0060558E">
              <w:rPr>
                <w:rFonts w:hint="eastAsia"/>
                <w:rtl/>
              </w:rPr>
              <w:t>–</w:t>
            </w:r>
            <w:r w:rsidRPr="0060558E">
              <w:rPr>
                <w:rtl/>
              </w:rPr>
              <w:t xml:space="preserve"> </w:t>
            </w:r>
          </w:p>
        </w:tc>
      </w:tr>
      <w:tr w:rsidR="00F604F3" w:rsidRPr="0060558E" w14:paraId="51313F34" w14:textId="77777777" w:rsidTr="00074291">
        <w:trPr>
          <w:cantSplit/>
        </w:trPr>
        <w:tc>
          <w:tcPr>
            <w:tcW w:w="1871" w:type="dxa"/>
            <w:shd w:val="clear" w:color="auto" w:fill="auto"/>
          </w:tcPr>
          <w:p w14:paraId="0011D733" w14:textId="77777777" w:rsidR="00F604F3" w:rsidRPr="0060558E" w:rsidRDefault="00F604F3" w:rsidP="00074291">
            <w:pPr>
              <w:pStyle w:val="TableSideHeading"/>
              <w:rPr>
                <w:rtl/>
              </w:rPr>
            </w:pPr>
          </w:p>
        </w:tc>
        <w:tc>
          <w:tcPr>
            <w:tcW w:w="624" w:type="dxa"/>
            <w:shd w:val="clear" w:color="auto" w:fill="auto"/>
          </w:tcPr>
          <w:p w14:paraId="4779788C" w14:textId="77777777" w:rsidR="00F604F3" w:rsidRPr="0060558E" w:rsidRDefault="00F604F3" w:rsidP="00074291">
            <w:pPr>
              <w:pStyle w:val="TableText"/>
              <w:rPr>
                <w:rtl/>
              </w:rPr>
            </w:pPr>
          </w:p>
        </w:tc>
        <w:tc>
          <w:tcPr>
            <w:tcW w:w="7143" w:type="dxa"/>
            <w:shd w:val="clear" w:color="auto" w:fill="auto"/>
          </w:tcPr>
          <w:p w14:paraId="1A127578" w14:textId="77777777" w:rsidR="00F604F3" w:rsidRPr="0060558E" w:rsidRDefault="00F604F3" w:rsidP="00074291">
            <w:pPr>
              <w:pStyle w:val="TableBlock"/>
              <w:rPr>
                <w:rtl/>
              </w:rPr>
            </w:pPr>
            <w:r w:rsidRPr="0060558E">
              <w:rPr>
                <w:rFonts w:hint="cs"/>
                <w:rtl/>
              </w:rPr>
              <w:t>(1)</w:t>
            </w:r>
            <w:r w:rsidRPr="0060558E">
              <w:rPr>
                <w:rtl/>
              </w:rPr>
              <w:tab/>
            </w:r>
            <w:r w:rsidRPr="0060558E">
              <w:rPr>
                <w:rFonts w:hint="cs"/>
                <w:rtl/>
              </w:rPr>
              <w:t xml:space="preserve">בסעיף 249(20), </w:t>
            </w:r>
            <w:r>
              <w:rPr>
                <w:rFonts w:hint="cs"/>
                <w:rtl/>
              </w:rPr>
              <w:t>המילים "בכפוף להוראות כל דין,</w:t>
            </w:r>
            <w:r w:rsidRPr="0060558E">
              <w:rPr>
                <w:rFonts w:hint="cs"/>
                <w:rtl/>
              </w:rPr>
              <w:t>"</w:t>
            </w:r>
            <w:r>
              <w:rPr>
                <w:rFonts w:hint="cs"/>
                <w:rtl/>
              </w:rPr>
              <w:t xml:space="preserve"> </w:t>
            </w:r>
            <w:r>
              <w:rPr>
                <w:rFonts w:hint="eastAsia"/>
                <w:rtl/>
              </w:rPr>
              <w:t>–</w:t>
            </w:r>
            <w:r>
              <w:rPr>
                <w:rFonts w:hint="cs"/>
                <w:rtl/>
              </w:rPr>
              <w:t xml:space="preserve"> יימחקו;</w:t>
            </w:r>
          </w:p>
        </w:tc>
      </w:tr>
      <w:tr w:rsidR="00F604F3" w:rsidRPr="0060558E" w14:paraId="29FDBBEF" w14:textId="77777777" w:rsidTr="00074291">
        <w:trPr>
          <w:cantSplit/>
        </w:trPr>
        <w:tc>
          <w:tcPr>
            <w:tcW w:w="1871" w:type="dxa"/>
            <w:shd w:val="clear" w:color="auto" w:fill="auto"/>
          </w:tcPr>
          <w:p w14:paraId="69529A16" w14:textId="77777777" w:rsidR="00F604F3" w:rsidRPr="0060558E" w:rsidRDefault="00F604F3" w:rsidP="00074291">
            <w:pPr>
              <w:pStyle w:val="TableSideHeading"/>
              <w:rPr>
                <w:rtl/>
              </w:rPr>
            </w:pPr>
          </w:p>
        </w:tc>
        <w:tc>
          <w:tcPr>
            <w:tcW w:w="624" w:type="dxa"/>
            <w:shd w:val="clear" w:color="auto" w:fill="auto"/>
          </w:tcPr>
          <w:p w14:paraId="20EE22EC" w14:textId="77777777" w:rsidR="00F604F3" w:rsidRPr="0060558E" w:rsidRDefault="00F604F3" w:rsidP="00074291">
            <w:pPr>
              <w:pStyle w:val="TableText"/>
              <w:rPr>
                <w:rtl/>
              </w:rPr>
            </w:pPr>
          </w:p>
        </w:tc>
        <w:tc>
          <w:tcPr>
            <w:tcW w:w="7143" w:type="dxa"/>
            <w:shd w:val="clear" w:color="auto" w:fill="auto"/>
          </w:tcPr>
          <w:p w14:paraId="6ABE84E9" w14:textId="77777777" w:rsidR="00F604F3" w:rsidRPr="0060558E" w:rsidRDefault="00F604F3" w:rsidP="00074291">
            <w:pPr>
              <w:pStyle w:val="TableBlock"/>
              <w:rPr>
                <w:rtl/>
              </w:rPr>
            </w:pPr>
            <w:r w:rsidRPr="0060558E">
              <w:rPr>
                <w:rFonts w:hint="cs"/>
                <w:rtl/>
              </w:rPr>
              <w:t>(2)</w:t>
            </w:r>
            <w:r w:rsidRPr="0060558E">
              <w:rPr>
                <w:rtl/>
              </w:rPr>
              <w:tab/>
            </w:r>
            <w:r w:rsidRPr="0060558E">
              <w:rPr>
                <w:rFonts w:hint="eastAsia"/>
                <w:rtl/>
              </w:rPr>
              <w:t>סעיף</w:t>
            </w:r>
            <w:r w:rsidRPr="0060558E">
              <w:rPr>
                <w:rtl/>
              </w:rPr>
              <w:t xml:space="preserve"> 258</w:t>
            </w:r>
            <w:r>
              <w:rPr>
                <w:rFonts w:hint="cs"/>
                <w:rtl/>
              </w:rPr>
              <w:t>א – בטל.</w:t>
            </w:r>
          </w:p>
        </w:tc>
      </w:tr>
      <w:tr w:rsidR="00F604F3" w:rsidRPr="0060558E" w14:paraId="1C1882E9" w14:textId="77777777" w:rsidTr="00074291">
        <w:tblPrEx>
          <w:tblLook w:val="0000" w:firstRow="0" w:lastRow="0" w:firstColumn="0" w:lastColumn="0" w:noHBand="0" w:noVBand="0"/>
        </w:tblPrEx>
        <w:trPr>
          <w:cantSplit/>
        </w:trPr>
        <w:tc>
          <w:tcPr>
            <w:tcW w:w="1871" w:type="dxa"/>
            <w:shd w:val="clear" w:color="auto" w:fill="auto"/>
            <w:tcMar>
              <w:top w:w="91" w:type="dxa"/>
              <w:left w:w="0" w:type="dxa"/>
              <w:bottom w:w="91" w:type="dxa"/>
              <w:right w:w="0" w:type="dxa"/>
            </w:tcMar>
          </w:tcPr>
          <w:p w14:paraId="061F78C6" w14:textId="77777777" w:rsidR="00F604F3" w:rsidRPr="0060558E" w:rsidRDefault="00F604F3" w:rsidP="00074291">
            <w:pPr>
              <w:pStyle w:val="TableSideHeading"/>
              <w:rPr>
                <w:rtl/>
              </w:rPr>
            </w:pPr>
            <w:r w:rsidRPr="0060558E">
              <w:rPr>
                <w:rFonts w:hint="eastAsia"/>
                <w:rtl/>
              </w:rPr>
              <w:t>תיקון</w:t>
            </w:r>
            <w:r w:rsidRPr="0060558E">
              <w:rPr>
                <w:rtl/>
              </w:rPr>
              <w:t xml:space="preserve"> </w:t>
            </w:r>
            <w:r w:rsidRPr="0060558E">
              <w:rPr>
                <w:rFonts w:hint="eastAsia"/>
                <w:rtl/>
              </w:rPr>
              <w:t>פקודת</w:t>
            </w:r>
            <w:r w:rsidRPr="0060558E">
              <w:rPr>
                <w:rtl/>
              </w:rPr>
              <w:t xml:space="preserve"> </w:t>
            </w:r>
            <w:r w:rsidRPr="0060558E">
              <w:rPr>
                <w:rFonts w:hint="eastAsia"/>
                <w:rtl/>
              </w:rPr>
              <w:t>המועצות</w:t>
            </w:r>
            <w:r w:rsidRPr="0060558E">
              <w:rPr>
                <w:rtl/>
              </w:rPr>
              <w:t xml:space="preserve"> </w:t>
            </w:r>
            <w:r w:rsidRPr="0060558E">
              <w:rPr>
                <w:rFonts w:hint="eastAsia"/>
                <w:rtl/>
              </w:rPr>
              <w:t>המקומיות</w:t>
            </w:r>
          </w:p>
        </w:tc>
        <w:tc>
          <w:tcPr>
            <w:tcW w:w="624" w:type="dxa"/>
            <w:shd w:val="clear" w:color="auto" w:fill="auto"/>
            <w:tcMar>
              <w:top w:w="91" w:type="dxa"/>
              <w:left w:w="0" w:type="dxa"/>
              <w:bottom w:w="91" w:type="dxa"/>
              <w:right w:w="0" w:type="dxa"/>
            </w:tcMar>
          </w:tcPr>
          <w:p w14:paraId="0068F935" w14:textId="77777777" w:rsidR="00F604F3" w:rsidRPr="0060558E" w:rsidRDefault="00F604F3" w:rsidP="00074291">
            <w:pPr>
              <w:pStyle w:val="TableText"/>
              <w:rPr>
                <w:rtl/>
              </w:rPr>
            </w:pPr>
            <w:r w:rsidRPr="0060558E">
              <w:rPr>
                <w:rtl/>
              </w:rPr>
              <w:t>2.</w:t>
            </w:r>
            <w:r w:rsidRPr="0060558E">
              <w:rPr>
                <w:rtl/>
              </w:rPr>
              <w:tab/>
            </w:r>
          </w:p>
        </w:tc>
        <w:tc>
          <w:tcPr>
            <w:tcW w:w="7143" w:type="dxa"/>
            <w:shd w:val="clear" w:color="auto" w:fill="auto"/>
            <w:tcMar>
              <w:top w:w="91" w:type="dxa"/>
              <w:left w:w="0" w:type="dxa"/>
              <w:bottom w:w="91" w:type="dxa"/>
              <w:right w:w="0" w:type="dxa"/>
            </w:tcMar>
          </w:tcPr>
          <w:p w14:paraId="562D1F59" w14:textId="77777777" w:rsidR="00F604F3" w:rsidRPr="0060558E" w:rsidRDefault="00F604F3" w:rsidP="00074291">
            <w:pPr>
              <w:pStyle w:val="TableBlock"/>
              <w:rPr>
                <w:rtl/>
              </w:rPr>
            </w:pPr>
            <w:r w:rsidRPr="0060558E">
              <w:rPr>
                <w:rFonts w:hint="eastAsia"/>
                <w:rtl/>
              </w:rPr>
              <w:t>בפקודת</w:t>
            </w:r>
            <w:r w:rsidRPr="0060558E">
              <w:rPr>
                <w:rtl/>
              </w:rPr>
              <w:t xml:space="preserve"> </w:t>
            </w:r>
            <w:r w:rsidRPr="0060558E">
              <w:rPr>
                <w:rFonts w:hint="eastAsia"/>
                <w:rtl/>
              </w:rPr>
              <w:t>המועצות</w:t>
            </w:r>
            <w:r w:rsidRPr="0060558E">
              <w:rPr>
                <w:rtl/>
              </w:rPr>
              <w:t xml:space="preserve"> </w:t>
            </w:r>
            <w:r w:rsidRPr="0060558E">
              <w:rPr>
                <w:rFonts w:hint="eastAsia"/>
                <w:rtl/>
              </w:rPr>
              <w:t>המקומיות‏</w:t>
            </w:r>
            <w:r w:rsidRPr="0060558E">
              <w:rPr>
                <w:vertAlign w:val="superscript"/>
                <w:rtl/>
              </w:rPr>
              <w:footnoteReference w:id="3"/>
            </w:r>
            <w:r w:rsidRPr="0060558E">
              <w:rPr>
                <w:rtl/>
              </w:rPr>
              <w:t xml:space="preserve">, </w:t>
            </w:r>
            <w:r w:rsidRPr="0060558E">
              <w:rPr>
                <w:rFonts w:hint="eastAsia"/>
                <w:rtl/>
              </w:rPr>
              <w:t>בסעיף</w:t>
            </w:r>
            <w:r w:rsidRPr="0060558E">
              <w:rPr>
                <w:rtl/>
              </w:rPr>
              <w:t xml:space="preserve"> 24</w:t>
            </w:r>
            <w:r w:rsidRPr="0060558E">
              <w:rPr>
                <w:rFonts w:hint="eastAsia"/>
                <w:rtl/>
              </w:rPr>
              <w:t>א</w:t>
            </w:r>
            <w:r w:rsidRPr="0060558E">
              <w:rPr>
                <w:rtl/>
              </w:rPr>
              <w:t xml:space="preserve">, </w:t>
            </w:r>
            <w:r>
              <w:rPr>
                <w:rFonts w:hint="cs"/>
                <w:rtl/>
              </w:rPr>
              <w:t>המילים</w:t>
            </w:r>
            <w:r w:rsidRPr="0060558E">
              <w:rPr>
                <w:rtl/>
              </w:rPr>
              <w:t xml:space="preserve"> "258</w:t>
            </w:r>
            <w:r w:rsidRPr="0060558E">
              <w:rPr>
                <w:rFonts w:hint="eastAsia"/>
                <w:rtl/>
              </w:rPr>
              <w:t>א</w:t>
            </w:r>
            <w:r w:rsidRPr="0060558E">
              <w:rPr>
                <w:rFonts w:hint="cs"/>
                <w:rtl/>
              </w:rPr>
              <w:t>,</w:t>
            </w:r>
            <w:r w:rsidRPr="0060558E">
              <w:rPr>
                <w:rtl/>
              </w:rPr>
              <w:t>"</w:t>
            </w:r>
            <w:r>
              <w:rPr>
                <w:rFonts w:hint="cs"/>
                <w:rtl/>
              </w:rPr>
              <w:t xml:space="preserve"> </w:t>
            </w:r>
            <w:r>
              <w:rPr>
                <w:rFonts w:hint="eastAsia"/>
                <w:rtl/>
              </w:rPr>
              <w:t>–</w:t>
            </w:r>
            <w:r>
              <w:rPr>
                <w:rFonts w:hint="cs"/>
                <w:rtl/>
              </w:rPr>
              <w:t xml:space="preserve"> יימחקו</w:t>
            </w:r>
            <w:r w:rsidRPr="0060558E">
              <w:rPr>
                <w:rtl/>
              </w:rPr>
              <w:t>.</w:t>
            </w:r>
          </w:p>
        </w:tc>
      </w:tr>
    </w:tbl>
    <w:bookmarkEnd w:id="7"/>
    <w:p w14:paraId="52CFF864" w14:textId="77777777" w:rsidR="00B668F9" w:rsidRDefault="00B668F9" w:rsidP="00B668F9">
      <w:pPr>
        <w:pStyle w:val="HeadDivreiHesber"/>
        <w:rPr>
          <w:rtl/>
        </w:rPr>
      </w:pPr>
      <w:r>
        <w:rPr>
          <w:rFonts w:hint="cs"/>
          <w:rtl/>
        </w:rPr>
        <w:t>דברי הסבר</w:t>
      </w:r>
    </w:p>
    <w:p w14:paraId="0F790360" w14:textId="5A67D45C" w:rsidR="00B668F9" w:rsidRPr="00FC627A" w:rsidRDefault="00B668F9" w:rsidP="00691869">
      <w:pPr>
        <w:pStyle w:val="Hesber"/>
        <w:rPr>
          <w:rtl/>
        </w:rPr>
      </w:pPr>
      <w:r w:rsidRPr="00F604F3">
        <w:rPr>
          <w:rFonts w:hint="eastAsia"/>
          <w:rtl/>
        </w:rPr>
        <w:t>בתאריך</w:t>
      </w:r>
      <w:r w:rsidR="00691869">
        <w:rPr>
          <w:rtl/>
        </w:rPr>
        <w:t xml:space="preserve"> כ"</w:t>
      </w:r>
      <w:r w:rsidR="00691869">
        <w:rPr>
          <w:rFonts w:hint="cs"/>
          <w:rtl/>
        </w:rPr>
        <w:t>ב</w:t>
      </w:r>
      <w:r w:rsidRPr="00F604F3">
        <w:rPr>
          <w:rtl/>
        </w:rPr>
        <w:t xml:space="preserve"> בטבת </w:t>
      </w:r>
      <w:proofErr w:type="spellStart"/>
      <w:r w:rsidRPr="00F604F3">
        <w:rPr>
          <w:rFonts w:hint="eastAsia"/>
          <w:rtl/>
        </w:rPr>
        <w:t>התשע</w:t>
      </w:r>
      <w:r w:rsidRPr="00F604F3">
        <w:rPr>
          <w:rtl/>
        </w:rPr>
        <w:t>"ח</w:t>
      </w:r>
      <w:proofErr w:type="spellEnd"/>
      <w:r w:rsidRPr="00F604F3">
        <w:rPr>
          <w:rtl/>
        </w:rPr>
        <w:t xml:space="preserve"> (</w:t>
      </w:r>
      <w:r w:rsidR="00691869">
        <w:rPr>
          <w:rFonts w:hint="cs"/>
          <w:rtl/>
        </w:rPr>
        <w:t>9</w:t>
      </w:r>
      <w:r w:rsidRPr="00F604F3">
        <w:rPr>
          <w:rtl/>
        </w:rPr>
        <w:t xml:space="preserve"> בינואר 2018) אישרה מליאת הכנסת את </w:t>
      </w:r>
      <w:r w:rsidR="00F604F3" w:rsidRPr="00FC627A">
        <w:rPr>
          <w:rFonts w:hint="eastAsia"/>
          <w:rtl/>
        </w:rPr>
        <w:t>ה</w:t>
      </w:r>
      <w:r w:rsidRPr="00FC627A">
        <w:rPr>
          <w:rFonts w:hint="eastAsia"/>
          <w:rtl/>
        </w:rPr>
        <w:t>חוק</w:t>
      </w:r>
      <w:r w:rsidRPr="00FC627A">
        <w:rPr>
          <w:rtl/>
        </w:rPr>
        <w:t xml:space="preserve"> לתיקון דיני הרשויות המקומיות (חוקי עזר בעניין פתיחתם וסגירתם של עסקים בימי מנוחה), </w:t>
      </w:r>
      <w:proofErr w:type="spellStart"/>
      <w:r w:rsidRPr="00FC627A">
        <w:rPr>
          <w:rFonts w:hint="eastAsia"/>
          <w:rtl/>
        </w:rPr>
        <w:t>התשע</w:t>
      </w:r>
      <w:r w:rsidRPr="00FC627A">
        <w:rPr>
          <w:rtl/>
        </w:rPr>
        <w:t>"ח</w:t>
      </w:r>
      <w:proofErr w:type="spellEnd"/>
      <w:r w:rsidRPr="00FC627A">
        <w:rPr>
          <w:rFonts w:hint="eastAsia"/>
          <w:rtl/>
        </w:rPr>
        <w:t>–</w:t>
      </w:r>
      <w:r w:rsidR="00691869">
        <w:rPr>
          <w:rtl/>
        </w:rPr>
        <w:t>2018</w:t>
      </w:r>
      <w:r w:rsidR="00691869">
        <w:rPr>
          <w:rFonts w:hint="cs"/>
          <w:rtl/>
        </w:rPr>
        <w:t xml:space="preserve">, </w:t>
      </w:r>
      <w:r w:rsidRPr="00FC627A">
        <w:rPr>
          <w:rFonts w:hint="eastAsia"/>
          <w:rtl/>
        </w:rPr>
        <w:t>הנודע</w:t>
      </w:r>
      <w:r w:rsidR="00F604F3" w:rsidRPr="00FC627A">
        <w:rPr>
          <w:rtl/>
        </w:rPr>
        <w:t xml:space="preserve"> גם</w:t>
      </w:r>
      <w:r w:rsidRPr="00FC627A">
        <w:rPr>
          <w:rtl/>
        </w:rPr>
        <w:t xml:space="preserve"> בכינויו "</w:t>
      </w:r>
      <w:r w:rsidRPr="00FC627A">
        <w:rPr>
          <w:rFonts w:hint="eastAsia"/>
          <w:rtl/>
        </w:rPr>
        <w:t>חוק</w:t>
      </w:r>
      <w:r w:rsidRPr="00FC627A">
        <w:rPr>
          <w:rtl/>
        </w:rPr>
        <w:t xml:space="preserve"> </w:t>
      </w:r>
      <w:r w:rsidRPr="00FC627A">
        <w:rPr>
          <w:rFonts w:hint="eastAsia"/>
          <w:rtl/>
        </w:rPr>
        <w:t>המרכולים</w:t>
      </w:r>
      <w:r w:rsidRPr="00FC627A">
        <w:rPr>
          <w:rtl/>
        </w:rPr>
        <w:t>"</w:t>
      </w:r>
      <w:r w:rsidR="00F604F3" w:rsidRPr="00FC627A">
        <w:rPr>
          <w:rtl/>
        </w:rPr>
        <w:t xml:space="preserve"> (להלן </w:t>
      </w:r>
      <w:r w:rsidR="00F604F3" w:rsidRPr="00FC627A">
        <w:rPr>
          <w:rFonts w:hint="eastAsia"/>
          <w:rtl/>
        </w:rPr>
        <w:t>–</w:t>
      </w:r>
      <w:r w:rsidR="00F604F3" w:rsidRPr="00FC627A">
        <w:rPr>
          <w:rtl/>
        </w:rPr>
        <w:t xml:space="preserve"> החוק).</w:t>
      </w:r>
      <w:r w:rsidRPr="00FC627A">
        <w:rPr>
          <w:rtl/>
        </w:rPr>
        <w:t xml:space="preserve"> החוק קובע כי חוקי עזר בעניין פתיחתם וסגירתם של עסקים בימי </w:t>
      </w:r>
      <w:r w:rsidRPr="00FC627A">
        <w:rPr>
          <w:rtl/>
        </w:rPr>
        <w:lastRenderedPageBreak/>
        <w:t xml:space="preserve">מנוחה יהיו טעונים הסכמה של שר הפנים </w:t>
      </w:r>
      <w:r w:rsidR="00664686">
        <w:rPr>
          <w:rFonts w:hint="cs"/>
          <w:rtl/>
        </w:rPr>
        <w:t>טרם</w:t>
      </w:r>
      <w:r w:rsidR="00664686" w:rsidRPr="00FC627A">
        <w:rPr>
          <w:rtl/>
        </w:rPr>
        <w:t xml:space="preserve"> </w:t>
      </w:r>
      <w:r w:rsidRPr="00FC627A">
        <w:rPr>
          <w:rFonts w:hint="eastAsia"/>
          <w:rtl/>
        </w:rPr>
        <w:t>פרסו</w:t>
      </w:r>
      <w:r w:rsidR="00664686">
        <w:rPr>
          <w:rFonts w:hint="cs"/>
          <w:rtl/>
        </w:rPr>
        <w:t>מ</w:t>
      </w:r>
      <w:r w:rsidRPr="00FC627A">
        <w:rPr>
          <w:rFonts w:hint="eastAsia"/>
          <w:rtl/>
        </w:rPr>
        <w:t>ם</w:t>
      </w:r>
      <w:r w:rsidRPr="00FC627A">
        <w:rPr>
          <w:rtl/>
        </w:rPr>
        <w:t xml:space="preserve"> </w:t>
      </w:r>
      <w:r w:rsidRPr="00FC627A">
        <w:rPr>
          <w:rFonts w:hint="eastAsia"/>
          <w:rtl/>
        </w:rPr>
        <w:t>ברשומות</w:t>
      </w:r>
      <w:r w:rsidR="00664686">
        <w:rPr>
          <w:rFonts w:hint="cs"/>
          <w:rtl/>
        </w:rPr>
        <w:t xml:space="preserve"> וכניסתם לתוקף</w:t>
      </w:r>
      <w:r w:rsidRPr="00FC627A">
        <w:rPr>
          <w:rtl/>
        </w:rPr>
        <w:t xml:space="preserve">, וכי הסכמת שר הפנים (להלן – השר) תינתן רק אם פתיחת העסקים בימי המנוחה כמוצע בחוק העזר נדרשת כדי לספק צרכים שהם, לדעת השר, צרכים חיוניים. </w:t>
      </w:r>
    </w:p>
    <w:p w14:paraId="308334B2" w14:textId="09238F3F" w:rsidR="00B668F9" w:rsidRPr="00F604F3" w:rsidRDefault="00664686" w:rsidP="00FC627A">
      <w:pPr>
        <w:pStyle w:val="Hesber"/>
        <w:rPr>
          <w:rtl/>
        </w:rPr>
      </w:pPr>
      <w:r>
        <w:rPr>
          <w:rFonts w:hint="cs"/>
          <w:rtl/>
        </w:rPr>
        <w:t>ואולם,</w:t>
      </w:r>
      <w:r w:rsidRPr="00FC627A">
        <w:rPr>
          <w:rtl/>
        </w:rPr>
        <w:t xml:space="preserve"> </w:t>
      </w:r>
      <w:r w:rsidR="00B668F9" w:rsidRPr="00FC627A">
        <w:rPr>
          <w:rFonts w:hint="eastAsia"/>
          <w:rtl/>
        </w:rPr>
        <w:t>אין</w:t>
      </w:r>
      <w:r w:rsidR="00B668F9" w:rsidRPr="00FC627A">
        <w:rPr>
          <w:rtl/>
        </w:rPr>
        <w:t xml:space="preserve"> </w:t>
      </w:r>
      <w:r w:rsidR="00B668F9" w:rsidRPr="00FC627A">
        <w:rPr>
          <w:rFonts w:hint="eastAsia"/>
          <w:rtl/>
        </w:rPr>
        <w:t>מדובר</w:t>
      </w:r>
      <w:r w:rsidR="00B668F9" w:rsidRPr="00FC627A">
        <w:rPr>
          <w:rtl/>
        </w:rPr>
        <w:t xml:space="preserve"> בדבר חקיקה רגיל. </w:t>
      </w:r>
      <w:r>
        <w:rPr>
          <w:rFonts w:hint="cs"/>
          <w:rtl/>
        </w:rPr>
        <w:t>ה</w:t>
      </w:r>
      <w:r w:rsidR="00B668F9" w:rsidRPr="00F604F3">
        <w:rPr>
          <w:rFonts w:hint="eastAsia"/>
          <w:rtl/>
        </w:rPr>
        <w:t>חו</w:t>
      </w:r>
      <w:r>
        <w:rPr>
          <w:rFonts w:hint="cs"/>
          <w:rtl/>
        </w:rPr>
        <w:t>ק</w:t>
      </w:r>
      <w:r w:rsidR="00B668F9" w:rsidRPr="00F604F3">
        <w:rPr>
          <w:rtl/>
        </w:rPr>
        <w:t xml:space="preserve"> משנה סדרי בראשית ביחס למרקם ה</w:t>
      </w:r>
      <w:r w:rsidR="00691869">
        <w:rPr>
          <w:rtl/>
        </w:rPr>
        <w:t xml:space="preserve">עדין של היחסים בין הציבור הדתי </w:t>
      </w:r>
      <w:r w:rsidR="00691869">
        <w:rPr>
          <w:rFonts w:hint="cs"/>
          <w:rtl/>
        </w:rPr>
        <w:t>ו</w:t>
      </w:r>
      <w:r w:rsidR="00B668F9" w:rsidRPr="00F604F3">
        <w:rPr>
          <w:rtl/>
        </w:rPr>
        <w:t>בין הציבור החילוני בישראל</w:t>
      </w:r>
      <w:r>
        <w:rPr>
          <w:rFonts w:hint="cs"/>
          <w:rtl/>
        </w:rPr>
        <w:t xml:space="preserve"> ואף </w:t>
      </w:r>
      <w:r w:rsidR="00B668F9" w:rsidRPr="00F604F3">
        <w:rPr>
          <w:rFonts w:hint="eastAsia"/>
          <w:rtl/>
        </w:rPr>
        <w:t>דורס</w:t>
      </w:r>
      <w:r w:rsidR="00B668F9" w:rsidRPr="00F604F3">
        <w:rPr>
          <w:rtl/>
        </w:rPr>
        <w:t xml:space="preserve"> </w:t>
      </w:r>
      <w:r w:rsidR="00B668F9" w:rsidRPr="00F604F3">
        <w:rPr>
          <w:rFonts w:hint="eastAsia"/>
          <w:rtl/>
        </w:rPr>
        <w:t>ומבטל</w:t>
      </w:r>
      <w:r w:rsidR="00B668F9" w:rsidRPr="00F604F3">
        <w:rPr>
          <w:rtl/>
        </w:rPr>
        <w:t xml:space="preserve"> </w:t>
      </w:r>
      <w:r w:rsidR="00B668F9" w:rsidRPr="00F604F3">
        <w:rPr>
          <w:rFonts w:hint="eastAsia"/>
          <w:rtl/>
        </w:rPr>
        <w:t>בהינף</w:t>
      </w:r>
      <w:r w:rsidR="00B668F9" w:rsidRPr="00F604F3">
        <w:rPr>
          <w:rtl/>
        </w:rPr>
        <w:t xml:space="preserve"> </w:t>
      </w:r>
      <w:r w:rsidR="00B668F9" w:rsidRPr="00F604F3">
        <w:rPr>
          <w:rFonts w:hint="eastAsia"/>
          <w:rtl/>
        </w:rPr>
        <w:t>יד</w:t>
      </w:r>
      <w:r w:rsidR="00B668F9" w:rsidRPr="00F604F3">
        <w:rPr>
          <w:rtl/>
        </w:rPr>
        <w:t xml:space="preserve"> </w:t>
      </w:r>
      <w:r w:rsidR="00B668F9" w:rsidRPr="00F604F3">
        <w:rPr>
          <w:rFonts w:hint="eastAsia"/>
          <w:rtl/>
        </w:rPr>
        <w:t>הסדרים</w:t>
      </w:r>
      <w:r w:rsidR="00B668F9" w:rsidRPr="00F604F3">
        <w:rPr>
          <w:rtl/>
        </w:rPr>
        <w:t xml:space="preserve"> </w:t>
      </w:r>
      <w:r w:rsidR="00B668F9" w:rsidRPr="00F604F3">
        <w:rPr>
          <w:rFonts w:hint="eastAsia"/>
          <w:rtl/>
        </w:rPr>
        <w:t>מקובלים</w:t>
      </w:r>
      <w:r w:rsidR="00B668F9" w:rsidRPr="00F604F3">
        <w:rPr>
          <w:rtl/>
        </w:rPr>
        <w:t xml:space="preserve">, </w:t>
      </w:r>
      <w:r w:rsidR="00B668F9" w:rsidRPr="00F604F3">
        <w:rPr>
          <w:rFonts w:hint="eastAsia"/>
          <w:rtl/>
        </w:rPr>
        <w:t>הגיוניים</w:t>
      </w:r>
      <w:r w:rsidR="00B668F9" w:rsidRPr="00F604F3">
        <w:rPr>
          <w:rtl/>
        </w:rPr>
        <w:t xml:space="preserve"> </w:t>
      </w:r>
      <w:r w:rsidR="00B668F9" w:rsidRPr="00F604F3">
        <w:rPr>
          <w:rFonts w:hint="eastAsia"/>
          <w:rtl/>
        </w:rPr>
        <w:t>ומפורטים</w:t>
      </w:r>
      <w:r w:rsidR="00B668F9" w:rsidRPr="00F604F3">
        <w:rPr>
          <w:rtl/>
        </w:rPr>
        <w:t xml:space="preserve"> </w:t>
      </w:r>
      <w:r w:rsidR="00B668F9" w:rsidRPr="00F604F3">
        <w:rPr>
          <w:rFonts w:hint="eastAsia"/>
          <w:rtl/>
        </w:rPr>
        <w:t>הנהוגים</w:t>
      </w:r>
      <w:r w:rsidR="00B668F9" w:rsidRPr="00F604F3">
        <w:rPr>
          <w:rtl/>
        </w:rPr>
        <w:t xml:space="preserve"> </w:t>
      </w:r>
      <w:r w:rsidR="00B668F9" w:rsidRPr="00F604F3">
        <w:rPr>
          <w:rFonts w:hint="eastAsia"/>
          <w:rtl/>
        </w:rPr>
        <w:t>מזה</w:t>
      </w:r>
      <w:r w:rsidR="00B668F9" w:rsidRPr="00F604F3">
        <w:rPr>
          <w:rtl/>
        </w:rPr>
        <w:t xml:space="preserve"> </w:t>
      </w:r>
      <w:r w:rsidR="00B668F9" w:rsidRPr="00F604F3">
        <w:rPr>
          <w:rFonts w:hint="eastAsia"/>
          <w:rtl/>
        </w:rPr>
        <w:t>עשרות</w:t>
      </w:r>
      <w:r w:rsidR="00B668F9" w:rsidRPr="00F604F3">
        <w:rPr>
          <w:rtl/>
        </w:rPr>
        <w:t xml:space="preserve"> </w:t>
      </w:r>
      <w:r w:rsidR="00B668F9" w:rsidRPr="00F604F3">
        <w:rPr>
          <w:rFonts w:hint="eastAsia"/>
          <w:rtl/>
        </w:rPr>
        <w:t>שנים</w:t>
      </w:r>
      <w:r w:rsidR="00B668F9" w:rsidRPr="00F604F3">
        <w:rPr>
          <w:rtl/>
        </w:rPr>
        <w:t xml:space="preserve">. </w:t>
      </w:r>
      <w:r w:rsidR="00B668F9" w:rsidRPr="00F604F3">
        <w:rPr>
          <w:rFonts w:hint="eastAsia"/>
          <w:rtl/>
        </w:rPr>
        <w:t>מעתה</w:t>
      </w:r>
      <w:r w:rsidR="00B668F9" w:rsidRPr="00F604F3">
        <w:rPr>
          <w:rtl/>
        </w:rPr>
        <w:t xml:space="preserve">, </w:t>
      </w:r>
      <w:r w:rsidR="00B668F9" w:rsidRPr="00F604F3">
        <w:rPr>
          <w:rFonts w:hint="eastAsia"/>
          <w:rtl/>
        </w:rPr>
        <w:t>אין</w:t>
      </w:r>
      <w:r w:rsidR="00B668F9" w:rsidRPr="00F604F3">
        <w:rPr>
          <w:rtl/>
        </w:rPr>
        <w:t xml:space="preserve"> </w:t>
      </w:r>
      <w:r w:rsidR="00B668F9" w:rsidRPr="00F604F3">
        <w:rPr>
          <w:rFonts w:hint="eastAsia"/>
          <w:rtl/>
        </w:rPr>
        <w:t>עוד</w:t>
      </w:r>
      <w:r w:rsidR="00B668F9" w:rsidRPr="00F604F3">
        <w:rPr>
          <w:rtl/>
        </w:rPr>
        <w:t xml:space="preserve"> </w:t>
      </w:r>
      <w:r w:rsidR="00B668F9" w:rsidRPr="00F604F3">
        <w:rPr>
          <w:rFonts w:hint="eastAsia"/>
          <w:rtl/>
        </w:rPr>
        <w:t>חשיבות</w:t>
      </w:r>
      <w:r w:rsidR="00B668F9" w:rsidRPr="00F604F3">
        <w:rPr>
          <w:rtl/>
        </w:rPr>
        <w:t xml:space="preserve"> </w:t>
      </w:r>
      <w:r w:rsidR="00B668F9" w:rsidRPr="00F604F3">
        <w:rPr>
          <w:rFonts w:hint="eastAsia"/>
          <w:rtl/>
        </w:rPr>
        <w:t>לשאלת</w:t>
      </w:r>
      <w:r w:rsidR="00B668F9" w:rsidRPr="00F604F3">
        <w:rPr>
          <w:rtl/>
        </w:rPr>
        <w:t xml:space="preserve"> </w:t>
      </w:r>
      <w:r w:rsidR="00B668F9" w:rsidRPr="00F604F3">
        <w:rPr>
          <w:rFonts w:hint="eastAsia"/>
          <w:rtl/>
        </w:rPr>
        <w:t>זהות</w:t>
      </w:r>
      <w:r w:rsidR="00B668F9" w:rsidRPr="00F604F3">
        <w:rPr>
          <w:rtl/>
        </w:rPr>
        <w:t xml:space="preserve"> </w:t>
      </w:r>
      <w:r w:rsidR="00B668F9" w:rsidRPr="00F604F3">
        <w:rPr>
          <w:rFonts w:hint="eastAsia"/>
          <w:rtl/>
        </w:rPr>
        <w:t>תושבי</w:t>
      </w:r>
      <w:r w:rsidR="00B668F9" w:rsidRPr="00F604F3">
        <w:rPr>
          <w:rtl/>
        </w:rPr>
        <w:t xml:space="preserve"> </w:t>
      </w:r>
      <w:r w:rsidR="00B668F9" w:rsidRPr="00F604F3">
        <w:rPr>
          <w:rFonts w:hint="eastAsia"/>
          <w:rtl/>
        </w:rPr>
        <w:t>הרשות</w:t>
      </w:r>
      <w:r w:rsidR="00B668F9" w:rsidRPr="00F604F3">
        <w:rPr>
          <w:rtl/>
        </w:rPr>
        <w:t xml:space="preserve"> </w:t>
      </w:r>
      <w:r w:rsidR="00B668F9" w:rsidRPr="00F604F3">
        <w:rPr>
          <w:rFonts w:hint="eastAsia"/>
          <w:rtl/>
        </w:rPr>
        <w:t>המקומית</w:t>
      </w:r>
      <w:r w:rsidR="00B668F9" w:rsidRPr="00F604F3">
        <w:rPr>
          <w:rtl/>
        </w:rPr>
        <w:t xml:space="preserve">, </w:t>
      </w:r>
      <w:r w:rsidR="00B668F9" w:rsidRPr="00F604F3">
        <w:rPr>
          <w:rFonts w:hint="eastAsia"/>
          <w:rtl/>
        </w:rPr>
        <w:t>ואין</w:t>
      </w:r>
      <w:r w:rsidR="00B668F9" w:rsidRPr="00F604F3">
        <w:rPr>
          <w:rtl/>
        </w:rPr>
        <w:t xml:space="preserve"> </w:t>
      </w:r>
      <w:r w:rsidR="00B668F9" w:rsidRPr="00F604F3">
        <w:rPr>
          <w:rFonts w:hint="eastAsia"/>
          <w:rtl/>
        </w:rPr>
        <w:t>זה</w:t>
      </w:r>
      <w:r w:rsidR="00B668F9" w:rsidRPr="00F604F3">
        <w:rPr>
          <w:rtl/>
        </w:rPr>
        <w:t xml:space="preserve"> </w:t>
      </w:r>
      <w:r w:rsidR="00B668F9" w:rsidRPr="00F604F3">
        <w:rPr>
          <w:rFonts w:hint="eastAsia"/>
          <w:rtl/>
        </w:rPr>
        <w:t>משנה</w:t>
      </w:r>
      <w:r w:rsidR="00B668F9" w:rsidRPr="00F604F3">
        <w:rPr>
          <w:rtl/>
        </w:rPr>
        <w:t xml:space="preserve"> </w:t>
      </w:r>
      <w:r w:rsidR="00B668F9" w:rsidRPr="00F604F3">
        <w:rPr>
          <w:rFonts w:hint="eastAsia"/>
          <w:rtl/>
        </w:rPr>
        <w:t>אם</w:t>
      </w:r>
      <w:r w:rsidR="00B668F9" w:rsidRPr="00F604F3">
        <w:rPr>
          <w:rtl/>
        </w:rPr>
        <w:t xml:space="preserve"> </w:t>
      </w:r>
      <w:r w:rsidR="00B668F9" w:rsidRPr="00F604F3">
        <w:rPr>
          <w:rFonts w:hint="eastAsia"/>
          <w:rtl/>
        </w:rPr>
        <w:t>במקום</w:t>
      </w:r>
      <w:r w:rsidR="00B668F9" w:rsidRPr="00F604F3">
        <w:rPr>
          <w:rtl/>
        </w:rPr>
        <w:t xml:space="preserve"> </w:t>
      </w:r>
      <w:r w:rsidR="00B668F9" w:rsidRPr="00F604F3">
        <w:rPr>
          <w:rFonts w:hint="eastAsia"/>
          <w:rtl/>
        </w:rPr>
        <w:t>פלוני</w:t>
      </w:r>
      <w:r w:rsidR="00B668F9" w:rsidRPr="00F604F3">
        <w:rPr>
          <w:rtl/>
        </w:rPr>
        <w:t xml:space="preserve"> </w:t>
      </w:r>
      <w:r w:rsidR="00B668F9" w:rsidRPr="00F604F3">
        <w:rPr>
          <w:rFonts w:hint="eastAsia"/>
          <w:rtl/>
        </w:rPr>
        <w:t>מתגוררת</w:t>
      </w:r>
      <w:r w:rsidR="00B668F9" w:rsidRPr="00F604F3">
        <w:rPr>
          <w:rtl/>
        </w:rPr>
        <w:t xml:space="preserve"> </w:t>
      </w:r>
      <w:r w:rsidR="00B668F9" w:rsidRPr="00F604F3">
        <w:rPr>
          <w:rFonts w:hint="eastAsia"/>
          <w:rtl/>
        </w:rPr>
        <w:t>אוכלוסייה</w:t>
      </w:r>
      <w:r w:rsidR="00B668F9" w:rsidRPr="00F604F3">
        <w:rPr>
          <w:rtl/>
        </w:rPr>
        <w:t xml:space="preserve"> </w:t>
      </w:r>
      <w:r w:rsidR="00B668F9" w:rsidRPr="00F604F3">
        <w:rPr>
          <w:rFonts w:hint="eastAsia"/>
          <w:rtl/>
        </w:rPr>
        <w:t>חילונית</w:t>
      </w:r>
      <w:r w:rsidR="00B668F9" w:rsidRPr="00F604F3">
        <w:rPr>
          <w:rtl/>
        </w:rPr>
        <w:t xml:space="preserve"> </w:t>
      </w:r>
      <w:r w:rsidR="00B668F9" w:rsidRPr="00F604F3">
        <w:rPr>
          <w:rFonts w:hint="eastAsia"/>
          <w:rtl/>
        </w:rPr>
        <w:t>המבקשת</w:t>
      </w:r>
      <w:r w:rsidR="00B668F9" w:rsidRPr="00F604F3">
        <w:rPr>
          <w:rtl/>
        </w:rPr>
        <w:t xml:space="preserve"> </w:t>
      </w:r>
      <w:r w:rsidR="00B668F9" w:rsidRPr="00F604F3">
        <w:rPr>
          <w:rFonts w:hint="eastAsia"/>
          <w:rtl/>
        </w:rPr>
        <w:t>לנהל</w:t>
      </w:r>
      <w:r w:rsidR="00B668F9" w:rsidRPr="00F604F3">
        <w:rPr>
          <w:rtl/>
        </w:rPr>
        <w:t xml:space="preserve"> </w:t>
      </w:r>
      <w:r w:rsidR="00B668F9" w:rsidRPr="00F604F3">
        <w:rPr>
          <w:rFonts w:hint="eastAsia"/>
          <w:rtl/>
        </w:rPr>
        <w:t>את</w:t>
      </w:r>
      <w:r w:rsidR="00B668F9" w:rsidRPr="00F604F3">
        <w:rPr>
          <w:rtl/>
        </w:rPr>
        <w:t xml:space="preserve"> </w:t>
      </w:r>
      <w:r w:rsidR="00B668F9" w:rsidRPr="00F604F3">
        <w:rPr>
          <w:rFonts w:hint="eastAsia"/>
          <w:rtl/>
        </w:rPr>
        <w:t>אורחותיה</w:t>
      </w:r>
      <w:r w:rsidR="00B668F9" w:rsidRPr="00F604F3">
        <w:rPr>
          <w:rtl/>
        </w:rPr>
        <w:t xml:space="preserve"> </w:t>
      </w:r>
      <w:r w:rsidR="00B668F9" w:rsidRPr="00F604F3">
        <w:rPr>
          <w:rFonts w:hint="eastAsia"/>
          <w:rtl/>
        </w:rPr>
        <w:t>בהתאם</w:t>
      </w:r>
      <w:r w:rsidR="00B668F9" w:rsidRPr="00F604F3">
        <w:rPr>
          <w:rtl/>
        </w:rPr>
        <w:t xml:space="preserve"> </w:t>
      </w:r>
      <w:r w:rsidR="00B668F9" w:rsidRPr="00F604F3">
        <w:rPr>
          <w:rFonts w:hint="eastAsia"/>
          <w:rtl/>
        </w:rPr>
        <w:t>לתפיסת</w:t>
      </w:r>
      <w:r w:rsidR="00B668F9" w:rsidRPr="00F604F3">
        <w:rPr>
          <w:rtl/>
        </w:rPr>
        <w:t xml:space="preserve"> </w:t>
      </w:r>
      <w:r w:rsidR="00B668F9" w:rsidRPr="00F604F3">
        <w:rPr>
          <w:rFonts w:hint="eastAsia"/>
          <w:rtl/>
        </w:rPr>
        <w:t>עולמה</w:t>
      </w:r>
      <w:r w:rsidR="00B668F9" w:rsidRPr="00F604F3">
        <w:rPr>
          <w:rtl/>
        </w:rPr>
        <w:t xml:space="preserve">. </w:t>
      </w:r>
      <w:r w:rsidR="00B668F9" w:rsidRPr="00F604F3">
        <w:rPr>
          <w:rFonts w:hint="eastAsia"/>
          <w:rtl/>
        </w:rPr>
        <w:t>החוק</w:t>
      </w:r>
      <w:r w:rsidR="00B668F9" w:rsidRPr="00F604F3">
        <w:rPr>
          <w:rtl/>
        </w:rPr>
        <w:t xml:space="preserve"> </w:t>
      </w:r>
      <w:r w:rsidR="00B668F9" w:rsidRPr="00F604F3">
        <w:rPr>
          <w:rFonts w:hint="eastAsia"/>
          <w:rtl/>
        </w:rPr>
        <w:t>מפקיע</w:t>
      </w:r>
      <w:r w:rsidR="00B668F9" w:rsidRPr="00F604F3">
        <w:rPr>
          <w:rtl/>
        </w:rPr>
        <w:t xml:space="preserve"> </w:t>
      </w:r>
      <w:r w:rsidR="00B668F9" w:rsidRPr="00F604F3">
        <w:rPr>
          <w:rFonts w:hint="eastAsia"/>
          <w:rtl/>
        </w:rPr>
        <w:t>את</w:t>
      </w:r>
      <w:r w:rsidR="00B668F9" w:rsidRPr="00F604F3">
        <w:rPr>
          <w:rtl/>
        </w:rPr>
        <w:t xml:space="preserve"> </w:t>
      </w:r>
      <w:r w:rsidR="00B668F9" w:rsidRPr="00F604F3">
        <w:rPr>
          <w:rFonts w:hint="eastAsia"/>
          <w:rtl/>
        </w:rPr>
        <w:t>הסמכות</w:t>
      </w:r>
      <w:r w:rsidR="00B668F9" w:rsidRPr="00F604F3">
        <w:rPr>
          <w:rtl/>
        </w:rPr>
        <w:t xml:space="preserve"> </w:t>
      </w:r>
      <w:r w:rsidR="00B668F9" w:rsidRPr="00F604F3">
        <w:rPr>
          <w:rFonts w:hint="eastAsia"/>
          <w:rtl/>
        </w:rPr>
        <w:t>של</w:t>
      </w:r>
      <w:r w:rsidR="00B668F9" w:rsidRPr="00F604F3">
        <w:rPr>
          <w:rtl/>
        </w:rPr>
        <w:t xml:space="preserve"> </w:t>
      </w:r>
      <w:r w:rsidR="00B668F9" w:rsidRPr="00F604F3">
        <w:rPr>
          <w:rFonts w:hint="eastAsia"/>
          <w:rtl/>
        </w:rPr>
        <w:t>השלטון</w:t>
      </w:r>
      <w:r w:rsidR="00B668F9" w:rsidRPr="00F604F3">
        <w:rPr>
          <w:rtl/>
        </w:rPr>
        <w:t xml:space="preserve"> </w:t>
      </w:r>
      <w:r w:rsidR="00B668F9" w:rsidRPr="00F604F3">
        <w:rPr>
          <w:rFonts w:hint="eastAsia"/>
          <w:rtl/>
        </w:rPr>
        <w:t>המקומי</w:t>
      </w:r>
      <w:r w:rsidR="00B668F9" w:rsidRPr="00F604F3">
        <w:rPr>
          <w:rtl/>
        </w:rPr>
        <w:t xml:space="preserve"> </w:t>
      </w:r>
      <w:r w:rsidR="00B668F9" w:rsidRPr="00F604F3">
        <w:rPr>
          <w:rFonts w:hint="eastAsia"/>
          <w:rtl/>
        </w:rPr>
        <w:t>לקבוע</w:t>
      </w:r>
      <w:r w:rsidR="00B668F9" w:rsidRPr="00F604F3">
        <w:rPr>
          <w:rtl/>
        </w:rPr>
        <w:t xml:space="preserve"> </w:t>
      </w:r>
      <w:r w:rsidR="00B668F9" w:rsidRPr="00F604F3">
        <w:rPr>
          <w:rFonts w:hint="eastAsia"/>
          <w:rtl/>
        </w:rPr>
        <w:t>עבור</w:t>
      </w:r>
      <w:r w:rsidR="00B668F9" w:rsidRPr="00F604F3">
        <w:rPr>
          <w:rtl/>
        </w:rPr>
        <w:t xml:space="preserve"> </w:t>
      </w:r>
      <w:r w:rsidR="00B668F9" w:rsidRPr="00F604F3">
        <w:rPr>
          <w:rFonts w:hint="eastAsia"/>
          <w:rtl/>
        </w:rPr>
        <w:t>בני</w:t>
      </w:r>
      <w:r w:rsidR="00B668F9" w:rsidRPr="00F604F3">
        <w:rPr>
          <w:rtl/>
        </w:rPr>
        <w:t xml:space="preserve"> </w:t>
      </w:r>
      <w:r w:rsidR="00B668F9" w:rsidRPr="00F604F3">
        <w:rPr>
          <w:rFonts w:hint="eastAsia"/>
          <w:rtl/>
        </w:rPr>
        <w:t>המקום</w:t>
      </w:r>
      <w:r w:rsidR="00B668F9" w:rsidRPr="00F604F3">
        <w:rPr>
          <w:rtl/>
        </w:rPr>
        <w:t xml:space="preserve"> </w:t>
      </w:r>
      <w:r w:rsidR="00B668F9" w:rsidRPr="00F604F3">
        <w:rPr>
          <w:rFonts w:hint="eastAsia"/>
          <w:rtl/>
        </w:rPr>
        <w:t>את</w:t>
      </w:r>
      <w:r w:rsidR="00B668F9" w:rsidRPr="00F604F3">
        <w:rPr>
          <w:rtl/>
        </w:rPr>
        <w:t xml:space="preserve"> </w:t>
      </w:r>
      <w:r w:rsidR="00B668F9" w:rsidRPr="00F604F3">
        <w:rPr>
          <w:rFonts w:hint="eastAsia"/>
          <w:rtl/>
        </w:rPr>
        <w:t>צביון</w:t>
      </w:r>
      <w:r w:rsidR="00B668F9" w:rsidRPr="00F604F3">
        <w:rPr>
          <w:rtl/>
        </w:rPr>
        <w:t xml:space="preserve"> </w:t>
      </w:r>
      <w:r w:rsidR="00B668F9" w:rsidRPr="00F604F3">
        <w:rPr>
          <w:rFonts w:hint="eastAsia"/>
          <w:rtl/>
        </w:rPr>
        <w:t>חייהם</w:t>
      </w:r>
      <w:r w:rsidR="00B668F9" w:rsidRPr="00F604F3">
        <w:rPr>
          <w:rtl/>
        </w:rPr>
        <w:t xml:space="preserve"> </w:t>
      </w:r>
      <w:r w:rsidR="00B668F9" w:rsidRPr="00F604F3">
        <w:rPr>
          <w:rFonts w:hint="eastAsia"/>
          <w:rtl/>
        </w:rPr>
        <w:t>ואת</w:t>
      </w:r>
      <w:r w:rsidR="00B668F9" w:rsidRPr="00F604F3">
        <w:rPr>
          <w:rtl/>
        </w:rPr>
        <w:t xml:space="preserve"> </w:t>
      </w:r>
      <w:r w:rsidR="00B668F9" w:rsidRPr="00F604F3">
        <w:rPr>
          <w:rFonts w:hint="eastAsia"/>
          <w:rtl/>
        </w:rPr>
        <w:t>אורחותיהם</w:t>
      </w:r>
      <w:r>
        <w:rPr>
          <w:rFonts w:hint="cs"/>
          <w:rtl/>
        </w:rPr>
        <w:t xml:space="preserve"> </w:t>
      </w:r>
      <w:r w:rsidR="00B668F9" w:rsidRPr="00F604F3">
        <w:rPr>
          <w:rFonts w:hint="eastAsia"/>
          <w:rtl/>
        </w:rPr>
        <w:t>ומעביר</w:t>
      </w:r>
      <w:r w:rsidR="00B668F9" w:rsidRPr="00F604F3">
        <w:rPr>
          <w:rtl/>
        </w:rPr>
        <w:t xml:space="preserve"> סמכות זו לשר הפנים. המועצה וראש העיר אינם יכולים עוד להחליט למען תושביהם בעניינים עדינים ומורכבים אלה. קולם של תושבי המקום אינו יכול עוד להישמע. מעתה, אין זה משנה כיצד אלה מבקשים לנהל את חייהם. </w:t>
      </w:r>
    </w:p>
    <w:p w14:paraId="4D98540E" w14:textId="4FF76C46" w:rsidR="00C45189" w:rsidRDefault="00B668F9" w:rsidP="00FC627A">
      <w:pPr>
        <w:pStyle w:val="Hesber"/>
        <w:rPr>
          <w:rtl/>
        </w:rPr>
      </w:pPr>
      <w:r w:rsidRPr="00F604F3">
        <w:rPr>
          <w:rFonts w:hint="eastAsia"/>
          <w:rtl/>
        </w:rPr>
        <w:t>פגיעה</w:t>
      </w:r>
      <w:r w:rsidRPr="00F604F3">
        <w:rPr>
          <w:rtl/>
        </w:rPr>
        <w:t xml:space="preserve"> </w:t>
      </w:r>
      <w:r w:rsidRPr="00F604F3">
        <w:rPr>
          <w:rFonts w:hint="eastAsia"/>
          <w:rtl/>
        </w:rPr>
        <w:t>קשה</w:t>
      </w:r>
      <w:r w:rsidRPr="00F604F3">
        <w:rPr>
          <w:rtl/>
        </w:rPr>
        <w:t xml:space="preserve"> </w:t>
      </w:r>
      <w:r w:rsidRPr="00F604F3">
        <w:rPr>
          <w:rFonts w:hint="eastAsia"/>
          <w:rtl/>
        </w:rPr>
        <w:t>זו</w:t>
      </w:r>
      <w:r w:rsidRPr="00F604F3">
        <w:rPr>
          <w:rtl/>
        </w:rPr>
        <w:t xml:space="preserve"> </w:t>
      </w:r>
      <w:r w:rsidRPr="00F604F3">
        <w:rPr>
          <w:rFonts w:hint="eastAsia"/>
          <w:rtl/>
        </w:rPr>
        <w:t>בדמוקרטיה</w:t>
      </w:r>
      <w:r w:rsidRPr="00F604F3">
        <w:rPr>
          <w:rtl/>
        </w:rPr>
        <w:t xml:space="preserve"> </w:t>
      </w:r>
      <w:r w:rsidRPr="00F604F3">
        <w:rPr>
          <w:rFonts w:hint="eastAsia"/>
          <w:rtl/>
        </w:rPr>
        <w:t>המקומית</w:t>
      </w:r>
      <w:r w:rsidRPr="00F604F3">
        <w:rPr>
          <w:rtl/>
        </w:rPr>
        <w:t xml:space="preserve"> </w:t>
      </w:r>
      <w:r w:rsidRPr="00F604F3">
        <w:rPr>
          <w:rFonts w:hint="eastAsia"/>
          <w:rtl/>
        </w:rPr>
        <w:t>ובאמנה</w:t>
      </w:r>
      <w:r w:rsidRPr="00F604F3">
        <w:rPr>
          <w:rtl/>
        </w:rPr>
        <w:t xml:space="preserve"> </w:t>
      </w:r>
      <w:r w:rsidRPr="00F604F3">
        <w:rPr>
          <w:rFonts w:hint="eastAsia"/>
          <w:rtl/>
        </w:rPr>
        <w:t>החברתית</w:t>
      </w:r>
      <w:r w:rsidRPr="00F604F3">
        <w:rPr>
          <w:rtl/>
        </w:rPr>
        <w:t xml:space="preserve"> </w:t>
      </w:r>
      <w:r w:rsidRPr="00F604F3">
        <w:rPr>
          <w:rFonts w:hint="eastAsia"/>
          <w:rtl/>
        </w:rPr>
        <w:t>נעשתה</w:t>
      </w:r>
      <w:r w:rsidRPr="00F604F3">
        <w:rPr>
          <w:rtl/>
        </w:rPr>
        <w:t xml:space="preserve"> </w:t>
      </w:r>
      <w:r w:rsidRPr="00F604F3">
        <w:rPr>
          <w:rFonts w:hint="eastAsia"/>
          <w:rtl/>
        </w:rPr>
        <w:t>במטרה</w:t>
      </w:r>
      <w:r w:rsidRPr="00F604F3">
        <w:rPr>
          <w:rtl/>
        </w:rPr>
        <w:t xml:space="preserve"> </w:t>
      </w:r>
      <w:r w:rsidRPr="00F604F3">
        <w:rPr>
          <w:rFonts w:hint="eastAsia"/>
          <w:rtl/>
        </w:rPr>
        <w:t>מרכזית</w:t>
      </w:r>
      <w:r w:rsidRPr="00F604F3">
        <w:rPr>
          <w:rtl/>
        </w:rPr>
        <w:t xml:space="preserve"> </w:t>
      </w:r>
      <w:r w:rsidRPr="00F604F3">
        <w:rPr>
          <w:rFonts w:hint="eastAsia"/>
          <w:rtl/>
        </w:rPr>
        <w:t>אחת</w:t>
      </w:r>
      <w:r w:rsidR="00664686">
        <w:rPr>
          <w:rFonts w:hint="cs"/>
          <w:rtl/>
        </w:rPr>
        <w:t xml:space="preserve"> –</w:t>
      </w:r>
      <w:r w:rsidRPr="00F604F3">
        <w:rPr>
          <w:rtl/>
        </w:rPr>
        <w:t xml:space="preserve"> לשמור על יציבות קואליציונית. כל זאת, בניגוד לעמדת בג"צ אשר התיר את פתיחתם של עסקים מסוימים בשבת בתל אביב וקב</w:t>
      </w:r>
      <w:r w:rsidR="00664686">
        <w:rPr>
          <w:rFonts w:hint="cs"/>
          <w:rtl/>
        </w:rPr>
        <w:t>י</w:t>
      </w:r>
      <w:r w:rsidRPr="00F604F3">
        <w:rPr>
          <w:rFonts w:hint="eastAsia"/>
          <w:rtl/>
        </w:rPr>
        <w:t>ע</w:t>
      </w:r>
      <w:r w:rsidR="00664686">
        <w:rPr>
          <w:rFonts w:hint="cs"/>
          <w:rtl/>
        </w:rPr>
        <w:t>תו</w:t>
      </w:r>
      <w:r w:rsidRPr="00F604F3">
        <w:rPr>
          <w:rtl/>
        </w:rPr>
        <w:t xml:space="preserve"> כי "ה</w:t>
      </w:r>
      <w:r w:rsidRPr="00FC627A">
        <w:rPr>
          <w:rFonts w:hint="eastAsia"/>
          <w:rtl/>
        </w:rPr>
        <w:t>עירייה</w:t>
      </w:r>
      <w:r w:rsidRPr="00FC627A">
        <w:rPr>
          <w:rtl/>
        </w:rPr>
        <w:t xml:space="preserve"> </w:t>
      </w:r>
      <w:r w:rsidRPr="00FC627A">
        <w:rPr>
          <w:rFonts w:hint="eastAsia"/>
          <w:rtl/>
        </w:rPr>
        <w:t>היא</w:t>
      </w:r>
      <w:r w:rsidRPr="00FC627A">
        <w:rPr>
          <w:rtl/>
        </w:rPr>
        <w:t xml:space="preserve"> </w:t>
      </w:r>
      <w:r w:rsidRPr="00FC627A">
        <w:rPr>
          <w:rFonts w:hint="eastAsia"/>
          <w:rtl/>
        </w:rPr>
        <w:t>הגוף</w:t>
      </w:r>
      <w:r w:rsidRPr="00FC627A">
        <w:rPr>
          <w:rtl/>
        </w:rPr>
        <w:t xml:space="preserve"> </w:t>
      </w:r>
      <w:r w:rsidRPr="00FC627A">
        <w:rPr>
          <w:rFonts w:hint="eastAsia"/>
          <w:rtl/>
        </w:rPr>
        <w:t>המתאים</w:t>
      </w:r>
      <w:r w:rsidRPr="00FC627A">
        <w:rPr>
          <w:rtl/>
        </w:rPr>
        <w:t xml:space="preserve"> </w:t>
      </w:r>
      <w:r w:rsidRPr="00FC627A">
        <w:rPr>
          <w:rFonts w:hint="eastAsia"/>
          <w:rtl/>
        </w:rPr>
        <w:t>להכריע</w:t>
      </w:r>
      <w:r w:rsidRPr="00FC627A">
        <w:rPr>
          <w:rtl/>
        </w:rPr>
        <w:t xml:space="preserve"> </w:t>
      </w:r>
      <w:r w:rsidRPr="00FC627A">
        <w:rPr>
          <w:rFonts w:hint="eastAsia"/>
          <w:rtl/>
        </w:rPr>
        <w:t>בדבר</w:t>
      </w:r>
      <w:r w:rsidRPr="00FC627A">
        <w:rPr>
          <w:rtl/>
        </w:rPr>
        <w:t xml:space="preserve"> </w:t>
      </w:r>
      <w:r w:rsidRPr="00FC627A">
        <w:rPr>
          <w:rFonts w:hint="eastAsia"/>
          <w:rtl/>
        </w:rPr>
        <w:t>נקודת</w:t>
      </w:r>
      <w:r w:rsidRPr="00FC627A">
        <w:rPr>
          <w:rtl/>
        </w:rPr>
        <w:t xml:space="preserve"> </w:t>
      </w:r>
      <w:r w:rsidRPr="00FC627A">
        <w:rPr>
          <w:rFonts w:hint="eastAsia"/>
          <w:rtl/>
        </w:rPr>
        <w:t>האיזון</w:t>
      </w:r>
      <w:r w:rsidRPr="00FC627A">
        <w:rPr>
          <w:rtl/>
        </w:rPr>
        <w:t xml:space="preserve"> </w:t>
      </w:r>
      <w:r w:rsidRPr="00FC627A">
        <w:rPr>
          <w:rFonts w:hint="eastAsia"/>
          <w:rtl/>
        </w:rPr>
        <w:t>המתאימה</w:t>
      </w:r>
      <w:r w:rsidRPr="00FC627A">
        <w:rPr>
          <w:rtl/>
        </w:rPr>
        <w:t xml:space="preserve">, </w:t>
      </w:r>
      <w:r w:rsidRPr="00FC627A">
        <w:rPr>
          <w:rFonts w:hint="eastAsia"/>
          <w:rtl/>
        </w:rPr>
        <w:t>הנותנת</w:t>
      </w:r>
      <w:r w:rsidRPr="00FC627A">
        <w:rPr>
          <w:rtl/>
        </w:rPr>
        <w:t xml:space="preserve"> </w:t>
      </w:r>
      <w:r w:rsidRPr="00FC627A">
        <w:rPr>
          <w:rFonts w:hint="eastAsia"/>
          <w:rtl/>
        </w:rPr>
        <w:t>משקל</w:t>
      </w:r>
      <w:r w:rsidRPr="00FC627A">
        <w:rPr>
          <w:rtl/>
        </w:rPr>
        <w:t xml:space="preserve"> </w:t>
      </w:r>
      <w:r w:rsidRPr="00FC627A">
        <w:rPr>
          <w:rFonts w:hint="eastAsia"/>
          <w:rtl/>
        </w:rPr>
        <w:t>למכלול</w:t>
      </w:r>
      <w:r w:rsidRPr="00FC627A">
        <w:rPr>
          <w:rtl/>
        </w:rPr>
        <w:t xml:space="preserve"> </w:t>
      </w:r>
      <w:r w:rsidRPr="00FC627A">
        <w:rPr>
          <w:rFonts w:hint="eastAsia"/>
          <w:rtl/>
        </w:rPr>
        <w:t>השיקולים</w:t>
      </w:r>
      <w:r w:rsidRPr="00FC627A">
        <w:rPr>
          <w:rtl/>
        </w:rPr>
        <w:t xml:space="preserve"> </w:t>
      </w:r>
      <w:r w:rsidRPr="00FC627A">
        <w:rPr>
          <w:rFonts w:hint="eastAsia"/>
          <w:rtl/>
        </w:rPr>
        <w:t>הרלוונטיים</w:t>
      </w:r>
      <w:r w:rsidRPr="00FC627A">
        <w:rPr>
          <w:rtl/>
        </w:rPr>
        <w:t xml:space="preserve">, </w:t>
      </w:r>
      <w:r w:rsidRPr="00FC627A">
        <w:rPr>
          <w:rFonts w:hint="eastAsia"/>
          <w:rtl/>
        </w:rPr>
        <w:t>ובהם</w:t>
      </w:r>
      <w:r w:rsidRPr="00FC627A">
        <w:rPr>
          <w:rtl/>
        </w:rPr>
        <w:t xml:space="preserve"> </w:t>
      </w:r>
      <w:r w:rsidRPr="00FC627A">
        <w:rPr>
          <w:rFonts w:hint="eastAsia"/>
          <w:rtl/>
        </w:rPr>
        <w:t>הרכב</w:t>
      </w:r>
      <w:r w:rsidRPr="00FC627A">
        <w:rPr>
          <w:rtl/>
        </w:rPr>
        <w:t xml:space="preserve"> </w:t>
      </w:r>
      <w:r w:rsidRPr="00FC627A">
        <w:rPr>
          <w:rFonts w:hint="eastAsia"/>
          <w:rtl/>
        </w:rPr>
        <w:t>האוכלוסייה</w:t>
      </w:r>
      <w:r w:rsidRPr="00FC627A">
        <w:rPr>
          <w:rtl/>
        </w:rPr>
        <w:t xml:space="preserve"> </w:t>
      </w:r>
      <w:r w:rsidRPr="00FC627A">
        <w:rPr>
          <w:rFonts w:hint="eastAsia"/>
          <w:rtl/>
        </w:rPr>
        <w:t>בכל</w:t>
      </w:r>
      <w:r w:rsidRPr="00FC627A">
        <w:rPr>
          <w:rtl/>
        </w:rPr>
        <w:t xml:space="preserve"> </w:t>
      </w:r>
      <w:r w:rsidRPr="00FC627A">
        <w:rPr>
          <w:rFonts w:hint="eastAsia"/>
          <w:rtl/>
        </w:rPr>
        <w:t>מקום</w:t>
      </w:r>
      <w:r w:rsidRPr="00FC627A">
        <w:rPr>
          <w:rtl/>
        </w:rPr>
        <w:t xml:space="preserve"> </w:t>
      </w:r>
      <w:r w:rsidRPr="00FC627A">
        <w:rPr>
          <w:rFonts w:hint="eastAsia"/>
          <w:rtl/>
        </w:rPr>
        <w:t>ומקום</w:t>
      </w:r>
      <w:r w:rsidRPr="00FC627A">
        <w:rPr>
          <w:rtl/>
        </w:rPr>
        <w:t xml:space="preserve">, </w:t>
      </w:r>
      <w:r w:rsidRPr="00FC627A">
        <w:rPr>
          <w:rFonts w:hint="eastAsia"/>
          <w:rtl/>
        </w:rPr>
        <w:t>דרך</w:t>
      </w:r>
      <w:r w:rsidRPr="00FC627A">
        <w:rPr>
          <w:rtl/>
        </w:rPr>
        <w:t xml:space="preserve"> </w:t>
      </w:r>
      <w:r w:rsidRPr="00FC627A">
        <w:rPr>
          <w:rFonts w:hint="eastAsia"/>
          <w:rtl/>
        </w:rPr>
        <w:t>חייה</w:t>
      </w:r>
      <w:r w:rsidRPr="00FC627A">
        <w:rPr>
          <w:rtl/>
        </w:rPr>
        <w:t xml:space="preserve"> </w:t>
      </w:r>
      <w:r w:rsidRPr="00FC627A">
        <w:rPr>
          <w:rFonts w:hint="eastAsia"/>
          <w:rtl/>
        </w:rPr>
        <w:t>ואופי</w:t>
      </w:r>
      <w:r w:rsidR="00664686">
        <w:rPr>
          <w:rFonts w:hint="cs"/>
          <w:rtl/>
        </w:rPr>
        <w:t>י</w:t>
      </w:r>
      <w:r w:rsidRPr="00FC627A">
        <w:rPr>
          <w:rFonts w:hint="eastAsia"/>
          <w:rtl/>
        </w:rPr>
        <w:t>ה</w:t>
      </w:r>
      <w:r w:rsidRPr="00FC627A">
        <w:rPr>
          <w:rtl/>
        </w:rPr>
        <w:t xml:space="preserve"> של העיר" (</w:t>
      </w:r>
      <w:r w:rsidRPr="00FC627A">
        <w:rPr>
          <w:rFonts w:hint="eastAsia"/>
          <w:rtl/>
        </w:rPr>
        <w:t>בג</w:t>
      </w:r>
      <w:r w:rsidRPr="00FC627A">
        <w:rPr>
          <w:rtl/>
        </w:rPr>
        <w:t xml:space="preserve">"ץ 6322/14 </w:t>
      </w:r>
      <w:r w:rsidRPr="00664686">
        <w:rPr>
          <w:rFonts w:hint="eastAsia"/>
          <w:b/>
          <w:bCs/>
          <w:rtl/>
        </w:rPr>
        <w:t>התאחדות</w:t>
      </w:r>
      <w:r w:rsidRPr="00664686">
        <w:rPr>
          <w:b/>
          <w:bCs/>
          <w:rtl/>
        </w:rPr>
        <w:t xml:space="preserve"> </w:t>
      </w:r>
      <w:r w:rsidRPr="00664686">
        <w:rPr>
          <w:rFonts w:hint="eastAsia"/>
          <w:b/>
          <w:bCs/>
          <w:rtl/>
        </w:rPr>
        <w:t>הסוחרים</w:t>
      </w:r>
      <w:r w:rsidRPr="00664686">
        <w:rPr>
          <w:b/>
          <w:bCs/>
          <w:rtl/>
        </w:rPr>
        <w:t xml:space="preserve"> </w:t>
      </w:r>
      <w:r w:rsidRPr="00664686">
        <w:rPr>
          <w:rFonts w:hint="eastAsia"/>
          <w:b/>
          <w:bCs/>
          <w:rtl/>
        </w:rPr>
        <w:t>והעצמאים</w:t>
      </w:r>
      <w:r w:rsidRPr="00664686">
        <w:rPr>
          <w:b/>
          <w:bCs/>
          <w:rtl/>
        </w:rPr>
        <w:t xml:space="preserve"> </w:t>
      </w:r>
      <w:r w:rsidRPr="00664686">
        <w:rPr>
          <w:rFonts w:hint="eastAsia"/>
          <w:b/>
          <w:bCs/>
          <w:rtl/>
        </w:rPr>
        <w:t>הכללית</w:t>
      </w:r>
      <w:r w:rsidRPr="00664686">
        <w:rPr>
          <w:b/>
          <w:bCs/>
          <w:rtl/>
        </w:rPr>
        <w:t xml:space="preserve"> </w:t>
      </w:r>
      <w:r w:rsidRPr="00664686">
        <w:rPr>
          <w:rFonts w:hint="eastAsia"/>
          <w:b/>
          <w:bCs/>
          <w:rtl/>
        </w:rPr>
        <w:t>נ</w:t>
      </w:r>
      <w:r w:rsidRPr="00664686">
        <w:rPr>
          <w:b/>
          <w:bCs/>
          <w:rtl/>
        </w:rPr>
        <w:t xml:space="preserve">' </w:t>
      </w:r>
      <w:r w:rsidRPr="00664686">
        <w:rPr>
          <w:rFonts w:hint="eastAsia"/>
          <w:b/>
          <w:bCs/>
          <w:rtl/>
        </w:rPr>
        <w:t>שר</w:t>
      </w:r>
      <w:r w:rsidRPr="00664686">
        <w:rPr>
          <w:b/>
          <w:bCs/>
          <w:rtl/>
        </w:rPr>
        <w:t xml:space="preserve"> </w:t>
      </w:r>
      <w:r w:rsidRPr="00664686">
        <w:rPr>
          <w:rFonts w:hint="eastAsia"/>
          <w:b/>
          <w:bCs/>
          <w:rtl/>
        </w:rPr>
        <w:t>הפנים</w:t>
      </w:r>
      <w:r w:rsidR="00C063BD">
        <w:rPr>
          <w:rFonts w:hint="cs"/>
          <w:b/>
          <w:bCs/>
          <w:rtl/>
        </w:rPr>
        <w:t>,</w:t>
      </w:r>
      <w:r w:rsidR="00C063BD">
        <w:rPr>
          <w:rFonts w:hint="cs"/>
          <w:rtl/>
        </w:rPr>
        <w:t xml:space="preserve"> </w:t>
      </w:r>
      <w:r w:rsidR="00C063BD" w:rsidRPr="00212353">
        <w:rPr>
          <w:rFonts w:hint="cs"/>
          <w:rtl/>
        </w:rPr>
        <w:t>פסקה 25</w:t>
      </w:r>
      <w:r w:rsidR="00C063BD">
        <w:rPr>
          <w:rFonts w:hint="cs"/>
          <w:rtl/>
        </w:rPr>
        <w:t xml:space="preserve"> לפסק דינה של כבוד </w:t>
      </w:r>
      <w:r w:rsidR="00C063BD" w:rsidRPr="00074291">
        <w:rPr>
          <w:rFonts w:hint="cs"/>
          <w:rtl/>
        </w:rPr>
        <w:t>הנשיאה מרים נאור</w:t>
      </w:r>
      <w:r w:rsidRPr="00FC627A">
        <w:rPr>
          <w:rtl/>
        </w:rPr>
        <w:t>)</w:t>
      </w:r>
      <w:r w:rsidR="00664686">
        <w:rPr>
          <w:rFonts w:hint="cs"/>
          <w:rtl/>
        </w:rPr>
        <w:t>.</w:t>
      </w:r>
      <w:r w:rsidR="00694DC5">
        <w:rPr>
          <w:rFonts w:hint="cs"/>
          <w:rtl/>
        </w:rPr>
        <w:t xml:space="preserve"> לפיכך, ובשל ה</w:t>
      </w:r>
      <w:r w:rsidRPr="00F604F3">
        <w:rPr>
          <w:rFonts w:hint="eastAsia"/>
          <w:rtl/>
        </w:rPr>
        <w:t>פגיעה</w:t>
      </w:r>
      <w:r w:rsidRPr="00F604F3">
        <w:rPr>
          <w:rtl/>
        </w:rPr>
        <w:t xml:space="preserve"> </w:t>
      </w:r>
      <w:r w:rsidR="00694DC5">
        <w:rPr>
          <w:rFonts w:hint="cs"/>
          <w:rtl/>
        </w:rPr>
        <w:t>ה</w:t>
      </w:r>
      <w:r w:rsidRPr="00F604F3">
        <w:rPr>
          <w:rFonts w:hint="eastAsia"/>
          <w:rtl/>
        </w:rPr>
        <w:t>ניכר</w:t>
      </w:r>
      <w:r w:rsidR="00664686">
        <w:rPr>
          <w:rFonts w:hint="cs"/>
          <w:rtl/>
        </w:rPr>
        <w:t xml:space="preserve">ת </w:t>
      </w:r>
      <w:r w:rsidRPr="00F604F3">
        <w:rPr>
          <w:rFonts w:hint="eastAsia"/>
          <w:rtl/>
        </w:rPr>
        <w:t>בשורה</w:t>
      </w:r>
      <w:r w:rsidRPr="00F604F3">
        <w:rPr>
          <w:rtl/>
        </w:rPr>
        <w:t xml:space="preserve"> </w:t>
      </w:r>
      <w:r w:rsidRPr="00F604F3">
        <w:rPr>
          <w:rFonts w:hint="eastAsia"/>
          <w:rtl/>
        </w:rPr>
        <w:t>ארוכה</w:t>
      </w:r>
      <w:r w:rsidRPr="00F604F3">
        <w:rPr>
          <w:rtl/>
        </w:rPr>
        <w:t xml:space="preserve"> </w:t>
      </w:r>
      <w:r w:rsidRPr="00F604F3">
        <w:rPr>
          <w:rFonts w:hint="eastAsia"/>
          <w:rtl/>
        </w:rPr>
        <w:t>של</w:t>
      </w:r>
      <w:r w:rsidRPr="00F604F3">
        <w:rPr>
          <w:rtl/>
        </w:rPr>
        <w:t xml:space="preserve"> </w:t>
      </w:r>
      <w:r w:rsidRPr="00F604F3">
        <w:rPr>
          <w:rFonts w:hint="eastAsia"/>
          <w:rtl/>
        </w:rPr>
        <w:t>זכויות</w:t>
      </w:r>
      <w:r w:rsidRPr="00F604F3">
        <w:rPr>
          <w:rtl/>
        </w:rPr>
        <w:t xml:space="preserve"> </w:t>
      </w:r>
      <w:r w:rsidRPr="00F604F3">
        <w:rPr>
          <w:rFonts w:hint="eastAsia"/>
          <w:rtl/>
        </w:rPr>
        <w:t>חוקתיות</w:t>
      </w:r>
      <w:r w:rsidR="00694DC5">
        <w:rPr>
          <w:rFonts w:hint="cs"/>
          <w:rtl/>
        </w:rPr>
        <w:t xml:space="preserve"> מוצע לבטל את החוק ובכך להשיב </w:t>
      </w:r>
      <w:r w:rsidR="00AA37BE">
        <w:rPr>
          <w:rFonts w:hint="cs"/>
          <w:rtl/>
        </w:rPr>
        <w:t>את המצב</w:t>
      </w:r>
      <w:r w:rsidR="00694DC5">
        <w:rPr>
          <w:rFonts w:hint="cs"/>
          <w:rtl/>
        </w:rPr>
        <w:t xml:space="preserve"> לקדמותו.</w:t>
      </w:r>
    </w:p>
    <w:p w14:paraId="146923D3" w14:textId="16B94F55" w:rsidR="00B668F9" w:rsidRPr="00F604F3" w:rsidRDefault="00C45189" w:rsidP="00BF62E8">
      <w:pPr>
        <w:pStyle w:val="Hesber"/>
        <w:rPr>
          <w:rtl/>
        </w:rPr>
      </w:pPr>
      <w:r>
        <w:rPr>
          <w:rFonts w:hint="cs"/>
          <w:rtl/>
        </w:rPr>
        <w:t>הצעת חוק זהה הו</w:t>
      </w:r>
      <w:r w:rsidR="00BF62E8">
        <w:rPr>
          <w:rFonts w:hint="cs"/>
          <w:rtl/>
        </w:rPr>
        <w:t>נחה על שולחן ה</w:t>
      </w:r>
      <w:r>
        <w:rPr>
          <w:rFonts w:hint="cs"/>
          <w:rtl/>
        </w:rPr>
        <w:t xml:space="preserve">כנסת העשרים על ידי חבר הכנסת </w:t>
      </w:r>
      <w:r w:rsidRPr="00C45189">
        <w:rPr>
          <w:rtl/>
        </w:rPr>
        <w:t>סאלח סעד</w:t>
      </w:r>
      <w:r>
        <w:rPr>
          <w:rFonts w:hint="cs"/>
          <w:rtl/>
        </w:rPr>
        <w:t xml:space="preserve"> וקבוצת חברי הכנסת (פ/</w:t>
      </w:r>
      <w:r w:rsidRPr="00FA454D">
        <w:rPr>
          <w:rFonts w:hint="cs"/>
          <w:rtl/>
        </w:rPr>
        <w:t>5040</w:t>
      </w:r>
      <w:r>
        <w:rPr>
          <w:rFonts w:hint="cs"/>
          <w:rtl/>
        </w:rPr>
        <w:t>/20).</w:t>
      </w:r>
    </w:p>
    <w:p w14:paraId="2090223B" w14:textId="77777777" w:rsidR="00B668F9" w:rsidRPr="00FC627A" w:rsidRDefault="00B668F9" w:rsidP="00FC627A">
      <w:pPr>
        <w:pStyle w:val="Hesber"/>
      </w:pPr>
    </w:p>
    <w:p w14:paraId="547DFD56" w14:textId="77777777" w:rsidR="00B668F9" w:rsidRDefault="00B668F9" w:rsidP="00B668F9">
      <w:pPr>
        <w:pStyle w:val="Hesber"/>
        <w:spacing w:after="240" w:line="276" w:lineRule="auto"/>
        <w:ind w:firstLine="0"/>
        <w:rPr>
          <w:rFonts w:ascii="David" w:hAnsi="David"/>
          <w:rtl/>
        </w:rPr>
      </w:pPr>
      <w:bookmarkStart w:id="8" w:name="_GoBack"/>
      <w:bookmarkEnd w:id="8"/>
    </w:p>
    <w:p w14:paraId="44AA3A06" w14:textId="77777777" w:rsidR="00691869" w:rsidRPr="00D73212" w:rsidRDefault="00691869" w:rsidP="00691869">
      <w:pPr>
        <w:pStyle w:val="Hesber"/>
        <w:rPr>
          <w:color w:val="auto"/>
          <w:rtl/>
          <w:lang w:eastAsia="en-US"/>
        </w:rPr>
      </w:pPr>
      <w:r w:rsidRPr="00D73212">
        <w:rPr>
          <w:color w:val="auto"/>
          <w:rtl/>
          <w:lang w:eastAsia="en-US"/>
        </w:rPr>
        <w:t>---------------------------------</w:t>
      </w:r>
    </w:p>
    <w:p w14:paraId="5180C6B4" w14:textId="77777777" w:rsidR="00691869" w:rsidRPr="00D73212" w:rsidRDefault="00691869" w:rsidP="00691869">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5453CF04" w14:textId="77777777" w:rsidR="00691869" w:rsidRPr="00D73212" w:rsidRDefault="00691869" w:rsidP="00691869">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2E39AE50" w14:textId="77777777" w:rsidR="00691869" w:rsidRPr="00317312" w:rsidRDefault="00691869" w:rsidP="00691869">
      <w:pPr>
        <w:pStyle w:val="Hesber"/>
      </w:pPr>
      <w:r>
        <w:rPr>
          <w:rFonts w:hint="cs"/>
          <w:color w:val="auto"/>
          <w:rtl/>
          <w:lang w:eastAsia="en-US"/>
        </w:rPr>
        <w:t>י"ג בשבט</w:t>
      </w:r>
      <w:r w:rsidRPr="00D73212">
        <w:rPr>
          <w:color w:val="auto"/>
          <w:rtl/>
          <w:lang w:eastAsia="en-US"/>
        </w:rPr>
        <w:t xml:space="preserve"> </w:t>
      </w:r>
      <w:proofErr w:type="spellStart"/>
      <w:r w:rsidRPr="00D73212">
        <w:rPr>
          <w:rFonts w:hint="cs"/>
          <w:color w:val="auto"/>
          <w:rtl/>
          <w:lang w:eastAsia="en-US"/>
        </w:rPr>
        <w:t>התשע</w:t>
      </w:r>
      <w:r w:rsidRPr="00D73212">
        <w:rPr>
          <w:color w:val="auto"/>
          <w:rtl/>
          <w:lang w:eastAsia="en-US"/>
        </w:rPr>
        <w:t>"</w:t>
      </w:r>
      <w:r>
        <w:rPr>
          <w:rFonts w:hint="cs"/>
          <w:color w:val="auto"/>
          <w:rtl/>
          <w:lang w:eastAsia="en-US"/>
        </w:rPr>
        <w:t>ח</w:t>
      </w:r>
      <w:proofErr w:type="spellEnd"/>
      <w:r w:rsidRPr="00D73212">
        <w:rPr>
          <w:color w:val="auto"/>
          <w:rtl/>
          <w:lang w:eastAsia="en-US"/>
        </w:rPr>
        <w:t xml:space="preserve"> – </w:t>
      </w:r>
      <w:r>
        <w:rPr>
          <w:rFonts w:hint="cs"/>
          <w:color w:val="auto"/>
          <w:rtl/>
          <w:lang w:eastAsia="en-US"/>
        </w:rPr>
        <w:t>29.1</w:t>
      </w:r>
      <w:r w:rsidRPr="00D73212">
        <w:rPr>
          <w:color w:val="auto"/>
          <w:rtl/>
          <w:lang w:eastAsia="en-US"/>
        </w:rPr>
        <w:t>.</w:t>
      </w:r>
      <w:r>
        <w:rPr>
          <w:rFonts w:hint="cs"/>
          <w:color w:val="auto"/>
          <w:rtl/>
          <w:lang w:eastAsia="en-US"/>
        </w:rPr>
        <w:t>18</w:t>
      </w:r>
    </w:p>
    <w:p w14:paraId="343B2287" w14:textId="77777777" w:rsidR="00691869" w:rsidRPr="00691869" w:rsidRDefault="00691869" w:rsidP="00B668F9">
      <w:pPr>
        <w:pStyle w:val="Hesber"/>
        <w:spacing w:after="240" w:line="276" w:lineRule="auto"/>
        <w:ind w:firstLine="0"/>
        <w:rPr>
          <w:rFonts w:ascii="David" w:hAnsi="David" w:hint="cs"/>
          <w:rtl/>
        </w:rPr>
      </w:pPr>
    </w:p>
    <w:p w14:paraId="006CA629" w14:textId="77777777" w:rsidR="00B668F9" w:rsidRDefault="00B668F9" w:rsidP="00B668F9">
      <w:pPr>
        <w:pStyle w:val="Hesber"/>
        <w:rPr>
          <w:rtl/>
        </w:rPr>
      </w:pPr>
    </w:p>
    <w:p w14:paraId="7F6961CB" w14:textId="77777777" w:rsidR="00E13C27" w:rsidRDefault="00E13C27" w:rsidP="00B668F9">
      <w:pPr>
        <w:pStyle w:val="HeadHatzaotHok"/>
        <w:rPr>
          <w:rtl/>
        </w:rPr>
      </w:pPr>
    </w:p>
    <w:sectPr w:rsidR="00E13C27"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691869">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7362E3E2" w14:textId="77777777" w:rsidR="00F604F3" w:rsidRDefault="00F604F3" w:rsidP="00F604F3">
      <w:pPr>
        <w:pStyle w:val="a4"/>
        <w:rPr>
          <w:rtl/>
        </w:rPr>
      </w:pPr>
      <w:r>
        <w:rPr>
          <w:rStyle w:val="a6"/>
        </w:rPr>
        <w:footnoteRef/>
      </w:r>
      <w:r>
        <w:rPr>
          <w:rtl/>
        </w:rPr>
        <w:t xml:space="preserve"> </w:t>
      </w:r>
      <w:r>
        <w:rPr>
          <w:rFonts w:hint="eastAsia"/>
          <w:rtl/>
        </w:rPr>
        <w:t>דיני</w:t>
      </w:r>
      <w:r>
        <w:rPr>
          <w:rtl/>
        </w:rPr>
        <w:t xml:space="preserve"> </w:t>
      </w:r>
      <w:r>
        <w:rPr>
          <w:rFonts w:hint="eastAsia"/>
          <w:rtl/>
        </w:rPr>
        <w:t>מדינת</w:t>
      </w:r>
      <w:r>
        <w:rPr>
          <w:rtl/>
        </w:rPr>
        <w:t xml:space="preserve"> </w:t>
      </w:r>
      <w:r>
        <w:rPr>
          <w:rFonts w:hint="eastAsia"/>
          <w:rtl/>
        </w:rPr>
        <w:t>ישראל</w:t>
      </w:r>
      <w:r>
        <w:rPr>
          <w:rtl/>
        </w:rPr>
        <w:t xml:space="preserve">, </w:t>
      </w:r>
      <w:r>
        <w:rPr>
          <w:rFonts w:hint="eastAsia"/>
          <w:rtl/>
        </w:rPr>
        <w:t>נוסח</w:t>
      </w:r>
      <w:r>
        <w:rPr>
          <w:rtl/>
        </w:rPr>
        <w:t xml:space="preserve"> </w:t>
      </w:r>
      <w:r>
        <w:rPr>
          <w:rFonts w:hint="eastAsia"/>
          <w:rtl/>
        </w:rPr>
        <w:t>חדש</w:t>
      </w:r>
      <w:r>
        <w:rPr>
          <w:rtl/>
        </w:rPr>
        <w:t xml:space="preserve"> 8, </w:t>
      </w:r>
      <w:r>
        <w:rPr>
          <w:rFonts w:hint="eastAsia"/>
          <w:rtl/>
        </w:rPr>
        <w:t>עמ</w:t>
      </w:r>
      <w:r>
        <w:rPr>
          <w:rtl/>
        </w:rPr>
        <w:t>' 197</w:t>
      </w:r>
      <w:r>
        <w:rPr>
          <w:rFonts w:hint="cs"/>
          <w:rtl/>
        </w:rPr>
        <w:t>.</w:t>
      </w:r>
    </w:p>
  </w:footnote>
  <w:footnote w:id="3">
    <w:p w14:paraId="33CD3AA1" w14:textId="77777777" w:rsidR="00F604F3" w:rsidRDefault="00F604F3" w:rsidP="00F604F3">
      <w:pPr>
        <w:pStyle w:val="a4"/>
        <w:rPr>
          <w:rtl/>
        </w:rPr>
      </w:pPr>
      <w:r>
        <w:rPr>
          <w:rStyle w:val="a6"/>
        </w:rPr>
        <w:footnoteRef/>
      </w:r>
      <w:r>
        <w:rPr>
          <w:rtl/>
        </w:rPr>
        <w:t xml:space="preserve"> </w:t>
      </w:r>
      <w:r>
        <w:rPr>
          <w:rFonts w:hint="eastAsia"/>
          <w:rtl/>
        </w:rPr>
        <w:t>דיני</w:t>
      </w:r>
      <w:r>
        <w:rPr>
          <w:rtl/>
        </w:rPr>
        <w:t xml:space="preserve"> </w:t>
      </w:r>
      <w:r>
        <w:rPr>
          <w:rFonts w:hint="eastAsia"/>
          <w:rtl/>
        </w:rPr>
        <w:t>מדינת</w:t>
      </w:r>
      <w:r>
        <w:rPr>
          <w:rtl/>
        </w:rPr>
        <w:t xml:space="preserve"> </w:t>
      </w:r>
      <w:r>
        <w:rPr>
          <w:rFonts w:hint="eastAsia"/>
          <w:rtl/>
        </w:rPr>
        <w:t>ישראל</w:t>
      </w:r>
      <w:r>
        <w:rPr>
          <w:rtl/>
        </w:rPr>
        <w:t xml:space="preserve">, </w:t>
      </w:r>
      <w:r>
        <w:rPr>
          <w:rFonts w:hint="eastAsia"/>
          <w:rtl/>
        </w:rPr>
        <w:t>נוסח</w:t>
      </w:r>
      <w:r>
        <w:rPr>
          <w:rtl/>
        </w:rPr>
        <w:t xml:space="preserve"> </w:t>
      </w:r>
      <w:r>
        <w:rPr>
          <w:rFonts w:hint="eastAsia"/>
          <w:rtl/>
        </w:rPr>
        <w:t>חדש</w:t>
      </w:r>
      <w:r>
        <w:rPr>
          <w:rtl/>
        </w:rPr>
        <w:t xml:space="preserve"> 9, </w:t>
      </w:r>
      <w:r>
        <w:rPr>
          <w:rFonts w:hint="eastAsia"/>
          <w:rtl/>
        </w:rPr>
        <w:t>עמ</w:t>
      </w:r>
      <w:r>
        <w:rPr>
          <w:rtl/>
        </w:rPr>
        <w:t>' 256</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24C61"/>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0D79"/>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64686"/>
    <w:rsid w:val="0067633D"/>
    <w:rsid w:val="006818A9"/>
    <w:rsid w:val="00691869"/>
    <w:rsid w:val="00694DC5"/>
    <w:rsid w:val="006A2D81"/>
    <w:rsid w:val="006C1D0D"/>
    <w:rsid w:val="006C7D7B"/>
    <w:rsid w:val="0070601E"/>
    <w:rsid w:val="00712C72"/>
    <w:rsid w:val="00735FE9"/>
    <w:rsid w:val="00763CAA"/>
    <w:rsid w:val="00765F66"/>
    <w:rsid w:val="0078664F"/>
    <w:rsid w:val="007B22E1"/>
    <w:rsid w:val="007C3FA6"/>
    <w:rsid w:val="007D585A"/>
    <w:rsid w:val="007D5A12"/>
    <w:rsid w:val="007E59F9"/>
    <w:rsid w:val="00802847"/>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A37BE"/>
    <w:rsid w:val="00AC36F7"/>
    <w:rsid w:val="00AC63A4"/>
    <w:rsid w:val="00AD239E"/>
    <w:rsid w:val="00B10265"/>
    <w:rsid w:val="00B16A99"/>
    <w:rsid w:val="00B21211"/>
    <w:rsid w:val="00B35784"/>
    <w:rsid w:val="00B668F9"/>
    <w:rsid w:val="00B733A7"/>
    <w:rsid w:val="00B75C91"/>
    <w:rsid w:val="00B975AD"/>
    <w:rsid w:val="00BC45FB"/>
    <w:rsid w:val="00BF148D"/>
    <w:rsid w:val="00BF62E8"/>
    <w:rsid w:val="00C063BD"/>
    <w:rsid w:val="00C23B1A"/>
    <w:rsid w:val="00C310EB"/>
    <w:rsid w:val="00C45189"/>
    <w:rsid w:val="00C9176A"/>
    <w:rsid w:val="00CF1AA2"/>
    <w:rsid w:val="00D17774"/>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604F3"/>
    <w:rsid w:val="00F628D6"/>
    <w:rsid w:val="00F67051"/>
    <w:rsid w:val="00F86A1E"/>
    <w:rsid w:val="00FA5E88"/>
    <w:rsid w:val="00FC62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B668F9"/>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05322">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D1A255A4-51FA-4E53-BD0B-611C814EC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7A7B03-7059-43AD-8DDB-82A38F55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408</Words>
  <Characters>2195</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22</cp:revision>
  <cp:lastPrinted>2018-01-25T08:09:00Z</cp:lastPrinted>
  <dcterms:created xsi:type="dcterms:W3CDTF">2015-04-20T09:58:00Z</dcterms:created>
  <dcterms:modified xsi:type="dcterms:W3CDTF">2018-01-25T08:38:00Z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2064129</vt:r8>
  </property>
</Properties>
</file>