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2025170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יוזמת:</w:t>
      </w:r>
      <w:r>
        <w:tab/>
      </w:r>
      <w:r>
        <w:rPr>
          <w:b/>
          <w:bCs/>
          <w:rtl/>
        </w:rPr>
        <w:t xml:space="preserve">      חברת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ענת ברקו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פ/4995/20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24661A80" w:rsidR="00E13C27" w:rsidRPr="00F67051" w:rsidRDefault="002E4EE2" w:rsidP="00B62600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השיפוט הצבאי (תיקון </w:t>
      </w:r>
      <w:r w:rsidR="00B62600">
        <w:rPr>
          <w:rFonts w:hint="eastAsia"/>
          <w:rtl/>
        </w:rPr>
        <w:t>–</w:t>
      </w:r>
      <w:r>
        <w:rPr>
          <w:rFonts w:hint="cs"/>
          <w:rtl/>
        </w:rPr>
        <w:t xml:space="preserve"> קביעת תסקיר מבחן לחיילים), התשע"ח</w:t>
      </w:r>
      <w:r w:rsidR="001E631F">
        <w:rPr>
          <w:rFonts w:hint="eastAsia"/>
          <w:rtl/>
        </w:rPr>
        <w:t>–</w:t>
      </w:r>
      <w:r>
        <w:rPr>
          <w:rFonts w:hint="cs"/>
          <w:rtl/>
        </w:rPr>
        <w:t>2018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43" w:type="dxa"/>
        <w:tblInd w:w="-5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624"/>
        <w:gridCol w:w="624"/>
        <w:gridCol w:w="624"/>
        <w:gridCol w:w="624"/>
        <w:gridCol w:w="624"/>
        <w:gridCol w:w="624"/>
        <w:gridCol w:w="4027"/>
      </w:tblGrid>
      <w:tr w:rsidR="002F1D80" w14:paraId="3D9B61D1" w14:textId="77777777" w:rsidTr="00813B83">
        <w:trPr>
          <w:cantSplit/>
        </w:trPr>
        <w:tc>
          <w:tcPr>
            <w:tcW w:w="1872" w:type="dxa"/>
          </w:tcPr>
          <w:p w14:paraId="6C0CB9D8" w14:textId="53BF036F" w:rsidR="002F1D80" w:rsidRPr="00D377BC" w:rsidRDefault="007C2EBD" w:rsidP="002E4EE2">
            <w:pPr>
              <w:pStyle w:val="TableSideHeading"/>
              <w:keepLines w:val="0"/>
              <w:rPr>
                <w:sz w:val="26"/>
              </w:rPr>
            </w:pPr>
            <w:r>
              <w:rPr>
                <w:rFonts w:hint="cs"/>
                <w:sz w:val="26"/>
                <w:rtl/>
              </w:rPr>
              <w:t>הוספת סעיפים 34א עד 34ג</w:t>
            </w:r>
          </w:p>
        </w:tc>
        <w:tc>
          <w:tcPr>
            <w:tcW w:w="624" w:type="dxa"/>
          </w:tcPr>
          <w:p w14:paraId="3F4286A2" w14:textId="0DF5176B" w:rsidR="002F1D80" w:rsidRPr="00D377BC" w:rsidRDefault="002E4EE2" w:rsidP="002C3041">
            <w:pPr>
              <w:pStyle w:val="TableText"/>
              <w:keepLines w:val="0"/>
              <w:rPr>
                <w:sz w:val="26"/>
              </w:rPr>
            </w:pPr>
            <w:r w:rsidRPr="00D377BC">
              <w:rPr>
                <w:sz w:val="26"/>
                <w:rtl/>
              </w:rPr>
              <w:t>1.</w:t>
            </w:r>
          </w:p>
        </w:tc>
        <w:tc>
          <w:tcPr>
            <w:tcW w:w="7147" w:type="dxa"/>
            <w:gridSpan w:val="6"/>
          </w:tcPr>
          <w:p w14:paraId="7633D5BB" w14:textId="100C5F71" w:rsidR="002F1D80" w:rsidRPr="002073B6" w:rsidRDefault="002E4EE2" w:rsidP="00D377BC">
            <w:pPr>
              <w:pStyle w:val="TableBlock"/>
            </w:pPr>
            <w:r w:rsidRPr="002073B6">
              <w:rPr>
                <w:rFonts w:hint="eastAsia"/>
                <w:rtl/>
              </w:rPr>
              <w:t>בחוק</w:t>
            </w:r>
            <w:r w:rsidRPr="002073B6">
              <w:rPr>
                <w:rtl/>
              </w:rPr>
              <w:t xml:space="preserve"> </w:t>
            </w:r>
            <w:r w:rsidRPr="002073B6">
              <w:rPr>
                <w:rFonts w:hint="eastAsia"/>
                <w:rtl/>
              </w:rPr>
              <w:t>השיפוט</w:t>
            </w:r>
            <w:r w:rsidRPr="002073B6">
              <w:rPr>
                <w:rtl/>
              </w:rPr>
              <w:t xml:space="preserve"> </w:t>
            </w:r>
            <w:r w:rsidRPr="002073B6">
              <w:rPr>
                <w:rFonts w:hint="eastAsia"/>
                <w:rtl/>
              </w:rPr>
              <w:t>הצבאי</w:t>
            </w:r>
            <w:r w:rsidRPr="002073B6">
              <w:rPr>
                <w:rtl/>
              </w:rPr>
              <w:t xml:space="preserve">, </w:t>
            </w:r>
            <w:r w:rsidRPr="002073B6">
              <w:rPr>
                <w:rFonts w:hint="eastAsia"/>
                <w:rtl/>
              </w:rPr>
              <w:t>התשט</w:t>
            </w:r>
            <w:r w:rsidRPr="002073B6">
              <w:rPr>
                <w:rtl/>
              </w:rPr>
              <w:t>"ו</w:t>
            </w:r>
            <w:r w:rsidR="002073B6">
              <w:rPr>
                <w:rFonts w:hint="eastAsia"/>
                <w:rtl/>
              </w:rPr>
              <w:t>–</w:t>
            </w:r>
            <w:r w:rsidRPr="002073B6">
              <w:rPr>
                <w:rtl/>
              </w:rPr>
              <w:t>1955</w:t>
            </w:r>
            <w:r w:rsidRPr="00D377BC">
              <w:rPr>
                <w:vertAlign w:val="superscript"/>
                <w:rtl/>
              </w:rPr>
              <w:footnoteReference w:id="2"/>
            </w:r>
            <w:r w:rsidRPr="002073B6">
              <w:rPr>
                <w:rtl/>
              </w:rPr>
              <w:t xml:space="preserve">, </w:t>
            </w:r>
            <w:r w:rsidR="002073B6">
              <w:rPr>
                <w:rFonts w:hint="cs"/>
                <w:rtl/>
              </w:rPr>
              <w:t>אחרי</w:t>
            </w:r>
            <w:r w:rsidR="002073B6" w:rsidRPr="002073B6">
              <w:rPr>
                <w:rtl/>
              </w:rPr>
              <w:t xml:space="preserve"> </w:t>
            </w:r>
            <w:r w:rsidRPr="002073B6">
              <w:rPr>
                <w:rFonts w:hint="eastAsia"/>
                <w:rtl/>
              </w:rPr>
              <w:t>סעיף</w:t>
            </w:r>
            <w:r w:rsidRPr="002073B6">
              <w:rPr>
                <w:rtl/>
              </w:rPr>
              <w:t xml:space="preserve"> 34 </w:t>
            </w:r>
            <w:r w:rsidRPr="002073B6">
              <w:rPr>
                <w:rFonts w:hint="eastAsia"/>
                <w:rtl/>
              </w:rPr>
              <w:t>יבוא</w:t>
            </w:r>
            <w:r w:rsidRPr="002073B6">
              <w:rPr>
                <w:rtl/>
              </w:rPr>
              <w:t>:</w:t>
            </w:r>
          </w:p>
        </w:tc>
      </w:tr>
      <w:tr w:rsidR="000C325D" w14:paraId="3DD7497A" w14:textId="77777777" w:rsidTr="000C325D">
        <w:trPr>
          <w:cantSplit/>
          <w:trHeight w:val="60"/>
        </w:trPr>
        <w:tc>
          <w:tcPr>
            <w:tcW w:w="1872" w:type="dxa"/>
          </w:tcPr>
          <w:p w14:paraId="0614D37B" w14:textId="2DAC855D" w:rsidR="000C325D" w:rsidRPr="00D377BC" w:rsidRDefault="000C325D" w:rsidP="000C325D">
            <w:pPr>
              <w:pStyle w:val="TableSideHeading"/>
              <w:keepLines w:val="0"/>
              <w:rPr>
                <w:sz w:val="26"/>
              </w:rPr>
            </w:pPr>
          </w:p>
        </w:tc>
        <w:tc>
          <w:tcPr>
            <w:tcW w:w="624" w:type="dxa"/>
          </w:tcPr>
          <w:p w14:paraId="6801CEB4" w14:textId="77777777" w:rsidR="000C325D" w:rsidRPr="00D377BC" w:rsidRDefault="000C325D" w:rsidP="000C325D">
            <w:pPr>
              <w:pStyle w:val="TableText"/>
              <w:keepLines w:val="0"/>
              <w:rPr>
                <w:sz w:val="26"/>
              </w:rPr>
            </w:pPr>
          </w:p>
        </w:tc>
        <w:tc>
          <w:tcPr>
            <w:tcW w:w="1872" w:type="dxa"/>
            <w:gridSpan w:val="3"/>
          </w:tcPr>
          <w:p w14:paraId="2863B1FF" w14:textId="2726782C" w:rsidR="000C325D" w:rsidRPr="00D377BC" w:rsidRDefault="000C325D" w:rsidP="000C325D">
            <w:pPr>
              <w:pStyle w:val="TableInnerSideHeading"/>
              <w:rPr>
                <w:sz w:val="26"/>
              </w:rPr>
            </w:pPr>
            <w:r w:rsidRPr="00D377BC">
              <w:rPr>
                <w:sz w:val="26"/>
                <w:rtl/>
              </w:rPr>
              <w:t xml:space="preserve">"מינוי </w:t>
            </w:r>
            <w:r w:rsidRPr="00D377BC">
              <w:rPr>
                <w:rFonts w:hint="eastAsia"/>
                <w:sz w:val="26"/>
                <w:rtl/>
              </w:rPr>
              <w:t>קציני</w:t>
            </w:r>
            <w:r w:rsidRPr="00D377BC">
              <w:rPr>
                <w:sz w:val="26"/>
                <w:rtl/>
              </w:rPr>
              <w:t xml:space="preserve"> </w:t>
            </w:r>
            <w:r w:rsidRPr="00D377BC">
              <w:rPr>
                <w:rFonts w:hint="eastAsia"/>
                <w:sz w:val="26"/>
                <w:rtl/>
              </w:rPr>
              <w:t>מבחן</w:t>
            </w:r>
          </w:p>
        </w:tc>
        <w:tc>
          <w:tcPr>
            <w:tcW w:w="624" w:type="dxa"/>
          </w:tcPr>
          <w:p w14:paraId="13B05EFA" w14:textId="09DCF898" w:rsidR="000C325D" w:rsidRPr="00D377BC" w:rsidRDefault="000C325D" w:rsidP="000C325D">
            <w:pPr>
              <w:pStyle w:val="TableText"/>
              <w:rPr>
                <w:sz w:val="26"/>
              </w:rPr>
            </w:pPr>
            <w:r w:rsidRPr="00D377BC">
              <w:rPr>
                <w:sz w:val="26"/>
                <w:rtl/>
              </w:rPr>
              <w:t>34א.</w:t>
            </w:r>
          </w:p>
        </w:tc>
        <w:tc>
          <w:tcPr>
            <w:tcW w:w="4651" w:type="dxa"/>
            <w:gridSpan w:val="2"/>
          </w:tcPr>
          <w:p w14:paraId="70386067" w14:textId="0665D963" w:rsidR="000C325D" w:rsidRPr="00D377BC" w:rsidRDefault="000C325D" w:rsidP="000C325D">
            <w:pPr>
              <w:pStyle w:val="TableBlock"/>
              <w:rPr>
                <w:sz w:val="26"/>
              </w:rPr>
            </w:pPr>
            <w:r w:rsidRPr="00D377BC">
              <w:rPr>
                <w:rFonts w:ascii="David" w:hAnsi="David" w:hint="eastAsia"/>
                <w:sz w:val="26"/>
                <w:rtl/>
              </w:rPr>
              <w:t>הרמטכ</w:t>
            </w:r>
            <w:r w:rsidRPr="00D377BC">
              <w:rPr>
                <w:rFonts w:ascii="David" w:hAnsi="David"/>
                <w:sz w:val="26"/>
                <w:rtl/>
              </w:rPr>
              <w:t xml:space="preserve">"ל </w:t>
            </w:r>
            <w:r w:rsidRPr="00D377BC">
              <w:rPr>
                <w:rFonts w:ascii="David" w:hAnsi="David" w:hint="eastAsia"/>
                <w:sz w:val="26"/>
                <w:rtl/>
              </w:rPr>
              <w:t>ימנה</w:t>
            </w:r>
            <w:r w:rsidRPr="00D377BC">
              <w:rPr>
                <w:rFonts w:ascii="David" w:hAnsi="David"/>
                <w:sz w:val="26"/>
                <w:rtl/>
              </w:rPr>
              <w:t xml:space="preserve"> </w:t>
            </w:r>
            <w:r w:rsidRPr="00D377BC">
              <w:rPr>
                <w:rFonts w:ascii="David" w:hAnsi="David" w:hint="eastAsia"/>
                <w:sz w:val="26"/>
                <w:rtl/>
              </w:rPr>
              <w:t>קציני</w:t>
            </w:r>
            <w:r w:rsidRPr="00D377BC">
              <w:rPr>
                <w:rFonts w:ascii="David" w:hAnsi="David"/>
                <w:sz w:val="26"/>
                <w:rtl/>
              </w:rPr>
              <w:t xml:space="preserve"> </w:t>
            </w:r>
            <w:r w:rsidRPr="00D377BC">
              <w:rPr>
                <w:rFonts w:ascii="David" w:hAnsi="David" w:hint="eastAsia"/>
                <w:sz w:val="26"/>
                <w:rtl/>
              </w:rPr>
              <w:t>מבחן</w:t>
            </w:r>
            <w:r w:rsidRPr="00D377BC">
              <w:rPr>
                <w:rFonts w:ascii="David" w:hAnsi="David"/>
                <w:sz w:val="26"/>
                <w:rtl/>
              </w:rPr>
              <w:t xml:space="preserve"> </w:t>
            </w:r>
            <w:r w:rsidRPr="00D377BC">
              <w:rPr>
                <w:rFonts w:ascii="David" w:hAnsi="David" w:hint="eastAsia"/>
                <w:sz w:val="26"/>
                <w:rtl/>
              </w:rPr>
              <w:t>בעלי</w:t>
            </w:r>
            <w:r w:rsidRPr="00D377BC">
              <w:rPr>
                <w:rFonts w:ascii="David" w:hAnsi="David"/>
                <w:sz w:val="26"/>
                <w:rtl/>
              </w:rPr>
              <w:t xml:space="preserve"> </w:t>
            </w:r>
            <w:r w:rsidRPr="00D377BC">
              <w:rPr>
                <w:rFonts w:ascii="David" w:hAnsi="David" w:hint="eastAsia"/>
                <w:sz w:val="26"/>
                <w:rtl/>
              </w:rPr>
              <w:t>הכשרה</w:t>
            </w:r>
            <w:r w:rsidRPr="00D377BC">
              <w:rPr>
                <w:rFonts w:ascii="David" w:hAnsi="David"/>
                <w:sz w:val="26"/>
                <w:rtl/>
              </w:rPr>
              <w:t xml:space="preserve"> </w:t>
            </w:r>
            <w:r w:rsidRPr="00D377BC">
              <w:rPr>
                <w:rFonts w:ascii="David" w:hAnsi="David" w:hint="eastAsia"/>
                <w:sz w:val="26"/>
                <w:rtl/>
              </w:rPr>
              <w:t>מקצועית</w:t>
            </w:r>
            <w:r w:rsidRPr="00D377BC">
              <w:rPr>
                <w:rFonts w:ascii="David" w:hAnsi="David"/>
                <w:sz w:val="26"/>
                <w:rtl/>
              </w:rPr>
              <w:t xml:space="preserve"> </w:t>
            </w:r>
            <w:r w:rsidRPr="00D377BC">
              <w:rPr>
                <w:rFonts w:ascii="David" w:hAnsi="David" w:hint="eastAsia"/>
                <w:sz w:val="26"/>
                <w:rtl/>
              </w:rPr>
              <w:t>וניסיון</w:t>
            </w:r>
            <w:r w:rsidRPr="00D377BC">
              <w:rPr>
                <w:rFonts w:ascii="David" w:hAnsi="David"/>
                <w:sz w:val="26"/>
                <w:rtl/>
              </w:rPr>
              <w:t xml:space="preserve"> </w:t>
            </w:r>
            <w:r w:rsidRPr="00D377BC">
              <w:rPr>
                <w:rFonts w:ascii="David" w:hAnsi="David" w:hint="eastAsia"/>
                <w:sz w:val="26"/>
                <w:rtl/>
              </w:rPr>
              <w:t>מתאימים</w:t>
            </w:r>
            <w:r w:rsidRPr="00D377BC">
              <w:rPr>
                <w:rFonts w:ascii="David" w:hAnsi="David"/>
                <w:sz w:val="26"/>
                <w:rtl/>
              </w:rPr>
              <w:t>.</w:t>
            </w:r>
          </w:p>
        </w:tc>
      </w:tr>
      <w:tr w:rsidR="00813B83" w14:paraId="48A6252D" w14:textId="77777777" w:rsidTr="00813B83">
        <w:trPr>
          <w:cantSplit/>
          <w:trHeight w:val="60"/>
        </w:trPr>
        <w:tc>
          <w:tcPr>
            <w:tcW w:w="1872" w:type="dxa"/>
          </w:tcPr>
          <w:p w14:paraId="7D5260B5" w14:textId="51643B36" w:rsidR="00813B83" w:rsidRPr="00D377BC" w:rsidRDefault="00813B83" w:rsidP="00813B83">
            <w:pPr>
              <w:pStyle w:val="TableSideHeading"/>
              <w:keepLines w:val="0"/>
              <w:rPr>
                <w:sz w:val="26"/>
              </w:rPr>
            </w:pPr>
          </w:p>
        </w:tc>
        <w:tc>
          <w:tcPr>
            <w:tcW w:w="624" w:type="dxa"/>
          </w:tcPr>
          <w:p w14:paraId="5C550619" w14:textId="77777777" w:rsidR="00813B83" w:rsidRPr="00D377BC" w:rsidRDefault="00813B83" w:rsidP="00813B83">
            <w:pPr>
              <w:pStyle w:val="TableText"/>
              <w:keepLines w:val="0"/>
              <w:rPr>
                <w:sz w:val="26"/>
              </w:rPr>
            </w:pPr>
          </w:p>
        </w:tc>
        <w:tc>
          <w:tcPr>
            <w:tcW w:w="1872" w:type="dxa"/>
            <w:gridSpan w:val="3"/>
          </w:tcPr>
          <w:p w14:paraId="44D7E125" w14:textId="411F4450" w:rsidR="00813B83" w:rsidRPr="00D377BC" w:rsidRDefault="00457CDC" w:rsidP="00813B83">
            <w:pPr>
              <w:pStyle w:val="TableInnerSideHeading"/>
              <w:rPr>
                <w:sz w:val="26"/>
              </w:rPr>
            </w:pPr>
            <w:r w:rsidRPr="00D377BC">
              <w:rPr>
                <w:rFonts w:hint="eastAsia"/>
                <w:sz w:val="26"/>
                <w:rtl/>
              </w:rPr>
              <w:t>תסקיר</w:t>
            </w:r>
            <w:r w:rsidRPr="00D377BC">
              <w:rPr>
                <w:sz w:val="26"/>
                <w:rtl/>
              </w:rPr>
              <w:t xml:space="preserve"> </w:t>
            </w:r>
            <w:r w:rsidRPr="00D377BC">
              <w:rPr>
                <w:rFonts w:hint="eastAsia"/>
                <w:sz w:val="26"/>
                <w:rtl/>
              </w:rPr>
              <w:t>בכתב</w:t>
            </w:r>
            <w:r w:rsidRPr="00D377BC">
              <w:rPr>
                <w:sz w:val="26"/>
                <w:rtl/>
              </w:rPr>
              <w:t xml:space="preserve"> </w:t>
            </w:r>
            <w:r w:rsidRPr="00D377BC">
              <w:rPr>
                <w:rFonts w:hint="eastAsia"/>
                <w:sz w:val="26"/>
                <w:rtl/>
              </w:rPr>
              <w:t>של</w:t>
            </w:r>
            <w:r w:rsidRPr="00D377BC">
              <w:rPr>
                <w:sz w:val="26"/>
                <w:rtl/>
              </w:rPr>
              <w:t xml:space="preserve"> </w:t>
            </w:r>
            <w:r w:rsidRPr="00D377BC">
              <w:rPr>
                <w:rFonts w:hint="eastAsia"/>
                <w:sz w:val="26"/>
                <w:rtl/>
              </w:rPr>
              <w:t>קצין</w:t>
            </w:r>
            <w:r w:rsidRPr="00D377BC">
              <w:rPr>
                <w:sz w:val="26"/>
                <w:rtl/>
              </w:rPr>
              <w:t xml:space="preserve"> </w:t>
            </w:r>
            <w:r w:rsidRPr="00D377BC">
              <w:rPr>
                <w:rFonts w:hint="eastAsia"/>
                <w:sz w:val="26"/>
                <w:rtl/>
              </w:rPr>
              <w:t>מבחן</w:t>
            </w:r>
          </w:p>
        </w:tc>
        <w:tc>
          <w:tcPr>
            <w:tcW w:w="624" w:type="dxa"/>
          </w:tcPr>
          <w:p w14:paraId="28E53025" w14:textId="5E9E2127" w:rsidR="00813B83" w:rsidRPr="00D377BC" w:rsidRDefault="00813B83" w:rsidP="00D377BC">
            <w:pPr>
              <w:pStyle w:val="TableText"/>
              <w:rPr>
                <w:sz w:val="26"/>
              </w:rPr>
            </w:pPr>
            <w:r w:rsidRPr="00D377BC">
              <w:rPr>
                <w:sz w:val="26"/>
                <w:rtl/>
              </w:rPr>
              <w:t>34</w:t>
            </w:r>
            <w:r w:rsidR="000C325D" w:rsidRPr="00D377BC">
              <w:rPr>
                <w:rFonts w:hint="eastAsia"/>
                <w:sz w:val="26"/>
                <w:rtl/>
              </w:rPr>
              <w:t>ב</w:t>
            </w:r>
            <w:r w:rsidRPr="00D377BC">
              <w:rPr>
                <w:sz w:val="26"/>
                <w:rtl/>
              </w:rPr>
              <w:t>.</w:t>
            </w:r>
          </w:p>
        </w:tc>
        <w:tc>
          <w:tcPr>
            <w:tcW w:w="4651" w:type="dxa"/>
            <w:gridSpan w:val="2"/>
          </w:tcPr>
          <w:p w14:paraId="7B74BDE6" w14:textId="52332540" w:rsidR="00813B83" w:rsidRPr="00D377BC" w:rsidRDefault="00813B83" w:rsidP="00D377BC">
            <w:pPr>
              <w:pStyle w:val="TableBlock"/>
              <w:rPr>
                <w:sz w:val="26"/>
              </w:rPr>
            </w:pPr>
            <w:r w:rsidRPr="00D377BC">
              <w:rPr>
                <w:rFonts w:ascii="David" w:hAnsi="David"/>
                <w:sz w:val="26"/>
                <w:rtl/>
              </w:rPr>
              <w:t>(א)</w:t>
            </w:r>
            <w:r w:rsidRPr="00D377BC">
              <w:rPr>
                <w:rFonts w:ascii="David" w:hAnsi="David"/>
                <w:sz w:val="26"/>
                <w:rtl/>
              </w:rPr>
              <w:tab/>
              <w:t xml:space="preserve">הורשע </w:t>
            </w:r>
            <w:r w:rsidR="00457CDC" w:rsidRPr="00D377BC">
              <w:rPr>
                <w:rFonts w:ascii="David" w:hAnsi="David" w:hint="eastAsia"/>
                <w:sz w:val="26"/>
                <w:rtl/>
              </w:rPr>
              <w:t>חייל</w:t>
            </w:r>
            <w:r w:rsidRPr="00D377BC">
              <w:rPr>
                <w:rFonts w:ascii="David" w:hAnsi="David"/>
                <w:sz w:val="26"/>
                <w:rtl/>
              </w:rPr>
              <w:t>, רשאי</w:t>
            </w:r>
            <w:r w:rsidR="00457CDC" w:rsidRPr="00D377BC">
              <w:rPr>
                <w:rFonts w:ascii="David" w:hAnsi="David"/>
                <w:sz w:val="26"/>
                <w:rtl/>
              </w:rPr>
              <w:t xml:space="preserve"> בית </w:t>
            </w:r>
            <w:r w:rsidR="00457CDC" w:rsidRPr="00D377BC">
              <w:rPr>
                <w:rFonts w:ascii="David" w:hAnsi="David" w:hint="eastAsia"/>
                <w:sz w:val="26"/>
                <w:rtl/>
              </w:rPr>
              <w:t>הדין</w:t>
            </w:r>
            <w:r w:rsidR="00457CDC" w:rsidRPr="00D377BC">
              <w:rPr>
                <w:rFonts w:ascii="David" w:hAnsi="David"/>
                <w:sz w:val="26"/>
                <w:rtl/>
              </w:rPr>
              <w:t xml:space="preserve"> </w:t>
            </w:r>
            <w:r w:rsidR="00457CDC" w:rsidRPr="00D377BC">
              <w:rPr>
                <w:rFonts w:ascii="David" w:hAnsi="David" w:hint="eastAsia"/>
                <w:sz w:val="26"/>
                <w:rtl/>
              </w:rPr>
              <w:t>ה</w:t>
            </w:r>
            <w:r w:rsidRPr="00D377BC">
              <w:rPr>
                <w:rFonts w:ascii="David" w:hAnsi="David" w:hint="eastAsia"/>
                <w:sz w:val="26"/>
                <w:rtl/>
              </w:rPr>
              <w:t>צבאי</w:t>
            </w:r>
            <w:r w:rsidRPr="00D377BC">
              <w:rPr>
                <w:rFonts w:ascii="David" w:hAnsi="David"/>
                <w:sz w:val="26"/>
                <w:rtl/>
              </w:rPr>
              <w:t>, לפני שיגזור את דינו, לדרוש תסקיר בכתב של קצין מבחן על כל אלה:</w:t>
            </w:r>
          </w:p>
        </w:tc>
      </w:tr>
      <w:tr w:rsidR="00813B83" w14:paraId="2B6DFFC0" w14:textId="77777777" w:rsidTr="00813B83">
        <w:trPr>
          <w:cantSplit/>
          <w:trHeight w:val="60"/>
        </w:trPr>
        <w:tc>
          <w:tcPr>
            <w:tcW w:w="1872" w:type="dxa"/>
          </w:tcPr>
          <w:p w14:paraId="294042E4" w14:textId="7A175474" w:rsidR="00813B83" w:rsidRPr="00D377BC" w:rsidRDefault="00813B83" w:rsidP="00813B83">
            <w:pPr>
              <w:pStyle w:val="TableSideHeading"/>
              <w:rPr>
                <w:sz w:val="26"/>
              </w:rPr>
            </w:pPr>
          </w:p>
        </w:tc>
        <w:tc>
          <w:tcPr>
            <w:tcW w:w="624" w:type="dxa"/>
          </w:tcPr>
          <w:p w14:paraId="2152DC81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02E1F2C5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312B21FF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5EC3F07B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1DED7C0C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3ABC9846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4027" w:type="dxa"/>
          </w:tcPr>
          <w:p w14:paraId="702A8CF1" w14:textId="0DAB2782" w:rsidR="00813B83" w:rsidRPr="00D377BC" w:rsidRDefault="00813B83" w:rsidP="00813B83">
            <w:pPr>
              <w:pStyle w:val="TableBlock"/>
              <w:rPr>
                <w:sz w:val="26"/>
              </w:rPr>
            </w:pPr>
            <w:r w:rsidRPr="00D377BC">
              <w:rPr>
                <w:sz w:val="26"/>
                <w:rtl/>
              </w:rPr>
              <w:t>(1)</w:t>
            </w:r>
            <w:r w:rsidRPr="00D377BC">
              <w:rPr>
                <w:sz w:val="26"/>
                <w:rtl/>
              </w:rPr>
              <w:tab/>
            </w:r>
            <w:r w:rsidRPr="00D377BC">
              <w:rPr>
                <w:rFonts w:ascii="David" w:hAnsi="David"/>
                <w:sz w:val="26"/>
                <w:rtl/>
              </w:rPr>
              <w:t>עברו של הנאשם;</w:t>
            </w:r>
          </w:p>
        </w:tc>
      </w:tr>
      <w:tr w:rsidR="00813B83" w14:paraId="2D857BFA" w14:textId="77777777" w:rsidTr="00813B83">
        <w:trPr>
          <w:cantSplit/>
          <w:trHeight w:val="60"/>
        </w:trPr>
        <w:tc>
          <w:tcPr>
            <w:tcW w:w="1872" w:type="dxa"/>
          </w:tcPr>
          <w:p w14:paraId="4AEFF1A2" w14:textId="732FD92A" w:rsidR="00813B83" w:rsidRPr="00D377BC" w:rsidRDefault="00813B83" w:rsidP="00813B83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</w:tcPr>
          <w:p w14:paraId="7215B93A" w14:textId="77777777" w:rsidR="00813B83" w:rsidRPr="00D377BC" w:rsidRDefault="00813B83" w:rsidP="00D377BC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466FDD0E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4C804D02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71172748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204AE208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73CDFD88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4027" w:type="dxa"/>
          </w:tcPr>
          <w:p w14:paraId="40844630" w14:textId="16FFECE5" w:rsidR="00813B83" w:rsidRPr="00D377BC" w:rsidRDefault="00813B83" w:rsidP="00813B83">
            <w:pPr>
              <w:pStyle w:val="TableBlock"/>
              <w:rPr>
                <w:sz w:val="26"/>
                <w:rtl/>
              </w:rPr>
            </w:pPr>
            <w:r w:rsidRPr="00D377BC">
              <w:rPr>
                <w:sz w:val="26"/>
                <w:rtl/>
              </w:rPr>
              <w:t>(2)</w:t>
            </w:r>
            <w:r w:rsidRPr="00D377BC">
              <w:rPr>
                <w:sz w:val="26"/>
                <w:rtl/>
              </w:rPr>
              <w:tab/>
            </w:r>
            <w:r w:rsidRPr="00D377BC">
              <w:rPr>
                <w:rFonts w:ascii="David" w:hAnsi="David"/>
                <w:sz w:val="26"/>
                <w:rtl/>
              </w:rPr>
              <w:t>מצבו המשפחתי של הנאשם עם פרטים מלאים ככל האפשר על הוריו, בן זוגו, ילדיו, אחיו ואחיותיו;</w:t>
            </w:r>
          </w:p>
        </w:tc>
      </w:tr>
      <w:tr w:rsidR="00813B83" w14:paraId="67039B34" w14:textId="77777777" w:rsidTr="00813B83">
        <w:trPr>
          <w:cantSplit/>
          <w:trHeight w:val="60"/>
        </w:trPr>
        <w:tc>
          <w:tcPr>
            <w:tcW w:w="1872" w:type="dxa"/>
          </w:tcPr>
          <w:p w14:paraId="342431D5" w14:textId="4FEECB73" w:rsidR="00813B83" w:rsidRPr="00D377BC" w:rsidRDefault="00813B83" w:rsidP="00813B83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</w:tcPr>
          <w:p w14:paraId="6B987D76" w14:textId="77777777" w:rsidR="00813B83" w:rsidRPr="00D377BC" w:rsidRDefault="00813B83" w:rsidP="00D377BC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541203D7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522A1F34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34FBEE66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3FF59719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4BB25DF7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4027" w:type="dxa"/>
          </w:tcPr>
          <w:p w14:paraId="14CBBC4D" w14:textId="6EB27992" w:rsidR="00813B83" w:rsidRPr="00D377BC" w:rsidRDefault="00813B83" w:rsidP="00813B83">
            <w:pPr>
              <w:pStyle w:val="TableBlock"/>
              <w:rPr>
                <w:sz w:val="26"/>
                <w:rtl/>
              </w:rPr>
            </w:pPr>
            <w:r w:rsidRPr="00D377BC">
              <w:rPr>
                <w:rFonts w:ascii="David" w:hAnsi="David"/>
                <w:sz w:val="26"/>
                <w:rtl/>
              </w:rPr>
              <w:t>(3)</w:t>
            </w:r>
            <w:r w:rsidRPr="00D377BC">
              <w:rPr>
                <w:rFonts w:ascii="David" w:hAnsi="David"/>
                <w:sz w:val="26"/>
                <w:rtl/>
              </w:rPr>
              <w:tab/>
              <w:t>מצבו הכלכלי של הנאשם;</w:t>
            </w:r>
          </w:p>
        </w:tc>
      </w:tr>
      <w:tr w:rsidR="00813B83" w14:paraId="0B96032F" w14:textId="77777777" w:rsidTr="00813B83">
        <w:trPr>
          <w:cantSplit/>
          <w:trHeight w:val="60"/>
        </w:trPr>
        <w:tc>
          <w:tcPr>
            <w:tcW w:w="1872" w:type="dxa"/>
          </w:tcPr>
          <w:p w14:paraId="19B6AC71" w14:textId="6EBD4950" w:rsidR="00813B83" w:rsidRPr="00D377BC" w:rsidRDefault="00813B83" w:rsidP="00813B83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</w:tcPr>
          <w:p w14:paraId="1002353C" w14:textId="77777777" w:rsidR="00813B83" w:rsidRPr="00D377BC" w:rsidRDefault="00813B83" w:rsidP="00D377BC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3FC0EB88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671884BD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32A939AD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211674B8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75888CA2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4027" w:type="dxa"/>
          </w:tcPr>
          <w:p w14:paraId="1288223C" w14:textId="7A2B6B38" w:rsidR="00813B83" w:rsidRPr="00D377BC" w:rsidRDefault="00813B83" w:rsidP="00813B83">
            <w:pPr>
              <w:pStyle w:val="TableBlock"/>
              <w:rPr>
                <w:sz w:val="26"/>
                <w:rtl/>
              </w:rPr>
            </w:pPr>
            <w:r w:rsidRPr="00D377BC">
              <w:rPr>
                <w:rFonts w:ascii="David" w:hAnsi="David" w:hint="eastAsia"/>
                <w:sz w:val="26"/>
                <w:rtl/>
              </w:rPr>
              <w:t>ׁׁׁ</w:t>
            </w:r>
            <w:r w:rsidRPr="00D377BC">
              <w:rPr>
                <w:rFonts w:ascii="David" w:hAnsi="David"/>
                <w:sz w:val="26"/>
                <w:rtl/>
              </w:rPr>
              <w:t>(4)</w:t>
            </w:r>
            <w:r w:rsidRPr="00D377BC">
              <w:rPr>
                <w:rFonts w:ascii="David" w:hAnsi="David"/>
                <w:sz w:val="26"/>
                <w:rtl/>
              </w:rPr>
              <w:tab/>
              <w:t>מצב בריאותם של הנאשם ובני משפחתו;</w:t>
            </w:r>
          </w:p>
        </w:tc>
      </w:tr>
      <w:tr w:rsidR="00813B83" w14:paraId="7AE047BF" w14:textId="77777777" w:rsidTr="00813B83">
        <w:trPr>
          <w:cantSplit/>
          <w:trHeight w:val="60"/>
        </w:trPr>
        <w:tc>
          <w:tcPr>
            <w:tcW w:w="1872" w:type="dxa"/>
          </w:tcPr>
          <w:p w14:paraId="79E0088F" w14:textId="055DCA6D" w:rsidR="00813B83" w:rsidRPr="00D377BC" w:rsidRDefault="00813B83" w:rsidP="00813B83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</w:tcPr>
          <w:p w14:paraId="22B53EC7" w14:textId="77777777" w:rsidR="00813B83" w:rsidRPr="00D377BC" w:rsidRDefault="00813B83" w:rsidP="00D377BC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1E361044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1B1ACE7B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6E700CFD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5BAF2A9D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6A02A7AB" w14:textId="77777777" w:rsidR="00813B83" w:rsidRPr="00D377BC" w:rsidRDefault="00813B83" w:rsidP="00813B83">
            <w:pPr>
              <w:pStyle w:val="TableText"/>
              <w:rPr>
                <w:sz w:val="26"/>
              </w:rPr>
            </w:pPr>
          </w:p>
        </w:tc>
        <w:tc>
          <w:tcPr>
            <w:tcW w:w="4027" w:type="dxa"/>
          </w:tcPr>
          <w:p w14:paraId="02E734C6" w14:textId="09E6FD97" w:rsidR="00813B83" w:rsidRPr="00D377BC" w:rsidRDefault="007C2EBD" w:rsidP="00D377BC">
            <w:pPr>
              <w:pStyle w:val="TableBlock"/>
              <w:rPr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>(5)</w:t>
            </w:r>
            <w:r>
              <w:rPr>
                <w:rFonts w:ascii="David" w:hAnsi="David"/>
                <w:sz w:val="26"/>
                <w:rtl/>
              </w:rPr>
              <w:tab/>
              <w:t>נסיבות פרטיות מיוחדות</w:t>
            </w:r>
            <w:r w:rsidR="00813B83" w:rsidRPr="00D377BC">
              <w:rPr>
                <w:rFonts w:ascii="David" w:hAnsi="David"/>
                <w:sz w:val="26"/>
                <w:rtl/>
              </w:rPr>
              <w:t xml:space="preserve"> שהביאוהו לידי עבירה</w:t>
            </w:r>
            <w:r>
              <w:rPr>
                <w:rFonts w:ascii="David" w:hAnsi="David" w:hint="cs"/>
                <w:sz w:val="26"/>
                <w:rtl/>
              </w:rPr>
              <w:t>, ככל שישנן</w:t>
            </w:r>
            <w:r w:rsidR="00813B83" w:rsidRPr="00D377BC">
              <w:rPr>
                <w:rFonts w:ascii="David" w:hAnsi="David"/>
                <w:sz w:val="26"/>
                <w:rtl/>
              </w:rPr>
              <w:t>.</w:t>
            </w:r>
            <w:r w:rsidR="00813B83" w:rsidRPr="00D377BC">
              <w:rPr>
                <w:sz w:val="26"/>
                <w:rtl/>
              </w:rPr>
              <w:t xml:space="preserve"> </w:t>
            </w:r>
          </w:p>
        </w:tc>
      </w:tr>
      <w:tr w:rsidR="00813B83" w14:paraId="65F71B4E" w14:textId="77777777" w:rsidTr="00D377BC">
        <w:trPr>
          <w:cantSplit/>
          <w:trHeight w:val="60"/>
        </w:trPr>
        <w:tc>
          <w:tcPr>
            <w:tcW w:w="1872" w:type="dxa"/>
          </w:tcPr>
          <w:p w14:paraId="6851DFE9" w14:textId="77777777" w:rsidR="00813B83" w:rsidRPr="00D377BC" w:rsidRDefault="00813B83">
            <w:pPr>
              <w:pStyle w:val="TableSideHeading"/>
              <w:rPr>
                <w:sz w:val="26"/>
              </w:rPr>
            </w:pPr>
          </w:p>
        </w:tc>
        <w:tc>
          <w:tcPr>
            <w:tcW w:w="624" w:type="dxa"/>
          </w:tcPr>
          <w:p w14:paraId="2807CD2E" w14:textId="77777777" w:rsidR="00813B83" w:rsidRPr="00D377BC" w:rsidRDefault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4E5727E4" w14:textId="77777777" w:rsidR="00813B83" w:rsidRPr="00D377BC" w:rsidRDefault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00A228EE" w14:textId="77777777" w:rsidR="00813B83" w:rsidRPr="00D377BC" w:rsidRDefault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6808D06E" w14:textId="77777777" w:rsidR="00813B83" w:rsidRPr="00D377BC" w:rsidRDefault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3530FEFA" w14:textId="77777777" w:rsidR="00813B83" w:rsidRPr="00D377BC" w:rsidRDefault="00813B83">
            <w:pPr>
              <w:pStyle w:val="TableText"/>
              <w:rPr>
                <w:sz w:val="26"/>
              </w:rPr>
            </w:pPr>
          </w:p>
        </w:tc>
        <w:tc>
          <w:tcPr>
            <w:tcW w:w="4651" w:type="dxa"/>
            <w:gridSpan w:val="2"/>
          </w:tcPr>
          <w:p w14:paraId="33B29B28" w14:textId="53649F3D" w:rsidR="00813B83" w:rsidRPr="00D377BC" w:rsidRDefault="00813B83">
            <w:pPr>
              <w:pStyle w:val="TableBlock"/>
              <w:rPr>
                <w:sz w:val="26"/>
              </w:rPr>
            </w:pPr>
            <w:r w:rsidRPr="00D377BC">
              <w:rPr>
                <w:sz w:val="26"/>
                <w:rtl/>
              </w:rPr>
              <w:t>(ב)</w:t>
            </w:r>
            <w:r w:rsidRPr="00D377BC">
              <w:rPr>
                <w:sz w:val="26"/>
                <w:rtl/>
              </w:rPr>
              <w:tab/>
            </w:r>
            <w:r w:rsidRPr="00D377BC">
              <w:rPr>
                <w:rFonts w:ascii="David" w:hAnsi="David"/>
                <w:sz w:val="26"/>
                <w:rtl/>
              </w:rPr>
              <w:t>בתסקיר כאמור</w:t>
            </w:r>
            <w:r w:rsidR="007C2EBD">
              <w:rPr>
                <w:rFonts w:ascii="David" w:hAnsi="David" w:hint="cs"/>
                <w:sz w:val="26"/>
                <w:rtl/>
              </w:rPr>
              <w:t xml:space="preserve"> בסעיף קטן (א)</w:t>
            </w:r>
            <w:r w:rsidRPr="00D377BC">
              <w:rPr>
                <w:rFonts w:ascii="David" w:hAnsi="David"/>
                <w:sz w:val="26"/>
                <w:rtl/>
              </w:rPr>
              <w:t xml:space="preserve"> רשאי קצין המבחן להמליץ לפני </w:t>
            </w:r>
            <w:r w:rsidRPr="00D377BC">
              <w:rPr>
                <w:rFonts w:ascii="David" w:hAnsi="David" w:hint="eastAsia"/>
                <w:sz w:val="26"/>
                <w:rtl/>
              </w:rPr>
              <w:t>בית</w:t>
            </w:r>
            <w:r w:rsidRPr="00D377BC">
              <w:rPr>
                <w:rFonts w:ascii="David" w:hAnsi="David"/>
                <w:sz w:val="26"/>
                <w:rtl/>
              </w:rPr>
              <w:t xml:space="preserve"> הדין הצבאי על טיב העונש שיש בו, לדעתו, סיכוי להחזיר את הנאשם למוטב</w:t>
            </w:r>
            <w:r w:rsidRPr="00D377BC">
              <w:rPr>
                <w:sz w:val="26"/>
                <w:rtl/>
              </w:rPr>
              <w:t>.</w:t>
            </w:r>
          </w:p>
        </w:tc>
      </w:tr>
      <w:tr w:rsidR="00813B83" w14:paraId="0D59740A" w14:textId="77777777" w:rsidTr="00D377BC">
        <w:trPr>
          <w:cantSplit/>
          <w:trHeight w:val="60"/>
        </w:trPr>
        <w:tc>
          <w:tcPr>
            <w:tcW w:w="1872" w:type="dxa"/>
          </w:tcPr>
          <w:p w14:paraId="6B7EA3E3" w14:textId="77777777" w:rsidR="00813B83" w:rsidRPr="00D377BC" w:rsidRDefault="00813B83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</w:tcPr>
          <w:p w14:paraId="74621CDE" w14:textId="77777777" w:rsidR="00813B83" w:rsidRPr="00D377BC" w:rsidRDefault="00813B83" w:rsidP="00D377BC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72FA75F1" w14:textId="77777777" w:rsidR="00813B83" w:rsidRPr="00D377BC" w:rsidRDefault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0D8BA427" w14:textId="77777777" w:rsidR="00813B83" w:rsidRPr="00D377BC" w:rsidRDefault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41251A8D" w14:textId="77777777" w:rsidR="00813B83" w:rsidRPr="00D377BC" w:rsidRDefault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47785768" w14:textId="77777777" w:rsidR="00813B83" w:rsidRPr="00D377BC" w:rsidRDefault="00813B83">
            <w:pPr>
              <w:pStyle w:val="TableText"/>
              <w:rPr>
                <w:sz w:val="26"/>
              </w:rPr>
            </w:pPr>
          </w:p>
        </w:tc>
        <w:tc>
          <w:tcPr>
            <w:tcW w:w="4651" w:type="dxa"/>
            <w:gridSpan w:val="2"/>
          </w:tcPr>
          <w:p w14:paraId="6EBE15DB" w14:textId="1C28C543" w:rsidR="00813B83" w:rsidRPr="00D377BC" w:rsidRDefault="00813B83" w:rsidP="00D377BC">
            <w:pPr>
              <w:pStyle w:val="TableBlock"/>
              <w:rPr>
                <w:sz w:val="26"/>
                <w:rtl/>
              </w:rPr>
            </w:pPr>
            <w:r w:rsidRPr="00D377BC">
              <w:rPr>
                <w:sz w:val="26"/>
                <w:rtl/>
              </w:rPr>
              <w:t>(ג)</w:t>
            </w:r>
            <w:r w:rsidRPr="00D377BC">
              <w:rPr>
                <w:sz w:val="26"/>
                <w:rtl/>
              </w:rPr>
              <w:tab/>
            </w:r>
            <w:r w:rsidRPr="00D377BC">
              <w:rPr>
                <w:rFonts w:ascii="David" w:hAnsi="David"/>
                <w:sz w:val="26"/>
                <w:rtl/>
              </w:rPr>
              <w:t xml:space="preserve">הטיל </w:t>
            </w:r>
            <w:r w:rsidRPr="00D377BC">
              <w:rPr>
                <w:rFonts w:ascii="David" w:hAnsi="David" w:hint="eastAsia"/>
                <w:sz w:val="26"/>
                <w:rtl/>
              </w:rPr>
              <w:t>בית</w:t>
            </w:r>
            <w:r w:rsidRPr="00D377BC">
              <w:rPr>
                <w:rFonts w:ascii="David" w:hAnsi="David"/>
                <w:sz w:val="26"/>
                <w:rtl/>
              </w:rPr>
              <w:t xml:space="preserve"> דין צבאי על נאשם עונש מאסר לאחר קבלת תסקיר, יישלח העתק ממנו </w:t>
            </w:r>
            <w:r w:rsidRPr="00D377BC">
              <w:rPr>
                <w:rFonts w:ascii="David" w:hAnsi="David" w:hint="eastAsia"/>
                <w:sz w:val="26"/>
                <w:rtl/>
              </w:rPr>
              <w:t>לקצין</w:t>
            </w:r>
            <w:r w:rsidRPr="00D377BC">
              <w:rPr>
                <w:rFonts w:ascii="David" w:hAnsi="David"/>
                <w:sz w:val="26"/>
                <w:rtl/>
              </w:rPr>
              <w:t xml:space="preserve"> המשטרה הצבאי הראשי </w:t>
            </w:r>
            <w:r w:rsidR="007C2EBD">
              <w:rPr>
                <w:rFonts w:ascii="David" w:hAnsi="David" w:hint="cs"/>
                <w:sz w:val="26"/>
                <w:rtl/>
              </w:rPr>
              <w:t xml:space="preserve">לשם </w:t>
            </w:r>
            <w:r w:rsidRPr="00D377BC">
              <w:rPr>
                <w:rFonts w:ascii="David" w:hAnsi="David"/>
                <w:sz w:val="26"/>
                <w:rtl/>
              </w:rPr>
              <w:t>התוויית דרך הטיפול ב</w:t>
            </w:r>
            <w:r w:rsidR="006E6F0A">
              <w:rPr>
                <w:rFonts w:ascii="David" w:hAnsi="David" w:hint="cs"/>
                <w:sz w:val="26"/>
                <w:rtl/>
              </w:rPr>
              <w:t>אסיר</w:t>
            </w:r>
            <w:r w:rsidRPr="00D377BC">
              <w:rPr>
                <w:rFonts w:ascii="David" w:hAnsi="David"/>
                <w:sz w:val="26"/>
                <w:rtl/>
              </w:rPr>
              <w:t>.</w:t>
            </w:r>
          </w:p>
        </w:tc>
      </w:tr>
      <w:tr w:rsidR="00813B83" w14:paraId="2A5EA358" w14:textId="77777777" w:rsidTr="00D377BC">
        <w:trPr>
          <w:cantSplit/>
          <w:trHeight w:val="60"/>
        </w:trPr>
        <w:tc>
          <w:tcPr>
            <w:tcW w:w="1872" w:type="dxa"/>
          </w:tcPr>
          <w:p w14:paraId="6814364A" w14:textId="77777777" w:rsidR="00813B83" w:rsidRPr="00D377BC" w:rsidRDefault="00813B83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</w:tcPr>
          <w:p w14:paraId="6A739BD5" w14:textId="77777777" w:rsidR="00813B83" w:rsidRPr="00D377BC" w:rsidRDefault="00813B83" w:rsidP="00D377BC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702E2A3F" w14:textId="77777777" w:rsidR="00813B83" w:rsidRPr="00D377BC" w:rsidRDefault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361793FF" w14:textId="77777777" w:rsidR="00813B83" w:rsidRPr="00D377BC" w:rsidRDefault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419560B3" w14:textId="77777777" w:rsidR="00813B83" w:rsidRPr="00D377BC" w:rsidRDefault="00813B83">
            <w:pPr>
              <w:pStyle w:val="TableText"/>
              <w:rPr>
                <w:sz w:val="26"/>
              </w:rPr>
            </w:pPr>
          </w:p>
        </w:tc>
        <w:tc>
          <w:tcPr>
            <w:tcW w:w="624" w:type="dxa"/>
          </w:tcPr>
          <w:p w14:paraId="1AAB7C4F" w14:textId="77777777" w:rsidR="00813B83" w:rsidRPr="00D377BC" w:rsidRDefault="00813B83">
            <w:pPr>
              <w:pStyle w:val="TableText"/>
              <w:rPr>
                <w:sz w:val="26"/>
              </w:rPr>
            </w:pPr>
          </w:p>
        </w:tc>
        <w:tc>
          <w:tcPr>
            <w:tcW w:w="4651" w:type="dxa"/>
            <w:gridSpan w:val="2"/>
          </w:tcPr>
          <w:p w14:paraId="3FCCAEE7" w14:textId="1B04140F" w:rsidR="00813B83" w:rsidRPr="00D377BC" w:rsidRDefault="00813B83" w:rsidP="00D377BC">
            <w:pPr>
              <w:pStyle w:val="TableBlock"/>
              <w:rPr>
                <w:sz w:val="26"/>
                <w:rtl/>
              </w:rPr>
            </w:pPr>
            <w:r w:rsidRPr="00D377BC">
              <w:rPr>
                <w:sz w:val="26"/>
                <w:rtl/>
              </w:rPr>
              <w:t>(ד)</w:t>
            </w:r>
            <w:r w:rsidRPr="00D377BC">
              <w:rPr>
                <w:sz w:val="26"/>
                <w:rtl/>
              </w:rPr>
              <w:tab/>
            </w:r>
            <w:r w:rsidRPr="00D377BC">
              <w:rPr>
                <w:rFonts w:ascii="David" w:hAnsi="David"/>
                <w:sz w:val="26"/>
                <w:rtl/>
              </w:rPr>
              <w:t xml:space="preserve">טענה כי תסקיר שהוגש לבית דין צבאי לא נערך לפי הוראות סעיף זה </w:t>
            </w:r>
            <w:r w:rsidR="007C2EBD">
              <w:rPr>
                <w:rFonts w:ascii="David" w:hAnsi="David" w:hint="cs"/>
                <w:sz w:val="26"/>
                <w:rtl/>
              </w:rPr>
              <w:t>לא תהיה</w:t>
            </w:r>
            <w:r w:rsidRPr="00D377BC">
              <w:rPr>
                <w:rFonts w:ascii="David" w:hAnsi="David"/>
                <w:sz w:val="26"/>
                <w:rtl/>
              </w:rPr>
              <w:t xml:space="preserve"> עילה לערעור</w:t>
            </w:r>
            <w:r w:rsidRPr="00D377BC">
              <w:rPr>
                <w:sz w:val="26"/>
                <w:rtl/>
              </w:rPr>
              <w:t>.</w:t>
            </w:r>
          </w:p>
        </w:tc>
      </w:tr>
      <w:tr w:rsidR="00457CDC" w14:paraId="27D97F28" w14:textId="77777777" w:rsidTr="00457CDC">
        <w:trPr>
          <w:cantSplit/>
          <w:trHeight w:val="60"/>
        </w:trPr>
        <w:tc>
          <w:tcPr>
            <w:tcW w:w="1872" w:type="dxa"/>
          </w:tcPr>
          <w:p w14:paraId="7DC2797F" w14:textId="405D0CCA" w:rsidR="00457CDC" w:rsidRPr="00D377BC" w:rsidRDefault="00457CDC" w:rsidP="00457CDC">
            <w:pPr>
              <w:pStyle w:val="TableSideHeading"/>
              <w:keepLines w:val="0"/>
              <w:rPr>
                <w:sz w:val="26"/>
              </w:rPr>
            </w:pPr>
          </w:p>
        </w:tc>
        <w:tc>
          <w:tcPr>
            <w:tcW w:w="624" w:type="dxa"/>
          </w:tcPr>
          <w:p w14:paraId="28BBEAE9" w14:textId="77777777" w:rsidR="00457CDC" w:rsidRPr="00D377BC" w:rsidRDefault="00457CDC" w:rsidP="00457CDC">
            <w:pPr>
              <w:pStyle w:val="TableText"/>
              <w:keepLines w:val="0"/>
              <w:rPr>
                <w:sz w:val="26"/>
              </w:rPr>
            </w:pPr>
          </w:p>
        </w:tc>
        <w:tc>
          <w:tcPr>
            <w:tcW w:w="1872" w:type="dxa"/>
            <w:gridSpan w:val="3"/>
          </w:tcPr>
          <w:p w14:paraId="4C2FA42A" w14:textId="3EE614BA" w:rsidR="00457CDC" w:rsidRPr="00D377BC" w:rsidRDefault="00457CDC" w:rsidP="00457CDC">
            <w:pPr>
              <w:pStyle w:val="TableInnerSideHeading"/>
              <w:rPr>
                <w:sz w:val="26"/>
              </w:rPr>
            </w:pPr>
            <w:r w:rsidRPr="00D377BC">
              <w:rPr>
                <w:rFonts w:hint="eastAsia"/>
                <w:sz w:val="26"/>
                <w:rtl/>
              </w:rPr>
              <w:t>תסקיר</w:t>
            </w:r>
            <w:r w:rsidRPr="00D377BC">
              <w:rPr>
                <w:sz w:val="26"/>
                <w:rtl/>
              </w:rPr>
              <w:t xml:space="preserve"> </w:t>
            </w:r>
            <w:r w:rsidRPr="00D377BC">
              <w:rPr>
                <w:rFonts w:hint="eastAsia"/>
                <w:sz w:val="26"/>
                <w:rtl/>
              </w:rPr>
              <w:t>חובה</w:t>
            </w:r>
          </w:p>
        </w:tc>
        <w:tc>
          <w:tcPr>
            <w:tcW w:w="624" w:type="dxa"/>
          </w:tcPr>
          <w:p w14:paraId="5AB9CFF3" w14:textId="6F7668E3" w:rsidR="00457CDC" w:rsidRPr="00D377BC" w:rsidRDefault="00457CDC" w:rsidP="00D377BC">
            <w:pPr>
              <w:pStyle w:val="TableText"/>
              <w:rPr>
                <w:sz w:val="26"/>
              </w:rPr>
            </w:pPr>
            <w:r w:rsidRPr="00D377BC">
              <w:rPr>
                <w:sz w:val="26"/>
                <w:rtl/>
              </w:rPr>
              <w:t>34</w:t>
            </w:r>
            <w:r w:rsidR="000C325D" w:rsidRPr="00D377BC">
              <w:rPr>
                <w:rFonts w:hint="eastAsia"/>
                <w:sz w:val="26"/>
                <w:rtl/>
              </w:rPr>
              <w:t>ג</w:t>
            </w:r>
            <w:r w:rsidRPr="00D377BC">
              <w:rPr>
                <w:sz w:val="26"/>
                <w:rtl/>
              </w:rPr>
              <w:t>.</w:t>
            </w:r>
          </w:p>
        </w:tc>
        <w:tc>
          <w:tcPr>
            <w:tcW w:w="4651" w:type="dxa"/>
            <w:gridSpan w:val="2"/>
          </w:tcPr>
          <w:p w14:paraId="256B7E50" w14:textId="2D173205" w:rsidR="00457CDC" w:rsidRPr="00D377BC" w:rsidRDefault="00457CDC" w:rsidP="00D377BC">
            <w:pPr>
              <w:pStyle w:val="TableBlock"/>
              <w:rPr>
                <w:sz w:val="26"/>
              </w:rPr>
            </w:pPr>
            <w:r w:rsidRPr="00D377BC">
              <w:rPr>
                <w:sz w:val="26"/>
                <w:rtl/>
              </w:rPr>
              <w:t xml:space="preserve">לא יטיל בית </w:t>
            </w:r>
            <w:r w:rsidRPr="00D377BC">
              <w:rPr>
                <w:rFonts w:hint="eastAsia"/>
                <w:sz w:val="26"/>
                <w:rtl/>
              </w:rPr>
              <w:t>הדין</w:t>
            </w:r>
            <w:r w:rsidRPr="00D377BC">
              <w:rPr>
                <w:sz w:val="26"/>
                <w:rtl/>
              </w:rPr>
              <w:t xml:space="preserve"> הצבאי עונש מאסר, שלא על תנאי, אלא לאחר קבלת תסקיר לפי סעיף</w:t>
            </w:r>
            <w:r w:rsidR="0072601A">
              <w:rPr>
                <w:rFonts w:hint="cs"/>
                <w:sz w:val="26"/>
                <w:rtl/>
              </w:rPr>
              <w:t xml:space="preserve"> </w:t>
            </w:r>
            <w:r w:rsidRPr="00D377BC">
              <w:rPr>
                <w:sz w:val="26"/>
                <w:rtl/>
              </w:rPr>
              <w:t>34</w:t>
            </w:r>
            <w:r w:rsidR="000C325D" w:rsidRPr="00D377BC">
              <w:rPr>
                <w:rFonts w:hint="eastAsia"/>
                <w:sz w:val="26"/>
                <w:rtl/>
              </w:rPr>
              <w:t>ב</w:t>
            </w:r>
            <w:r w:rsidRPr="00D377BC">
              <w:rPr>
                <w:sz w:val="26"/>
                <w:rtl/>
              </w:rPr>
              <w:t>."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0E678B2B" w14:textId="6065683E" w:rsidR="002E4EE2" w:rsidRPr="003F4D4F" w:rsidRDefault="002E4EE2" w:rsidP="00B62600">
      <w:pPr>
        <w:pStyle w:val="Hesber"/>
        <w:rPr>
          <w:rtl/>
        </w:rPr>
      </w:pPr>
      <w:r w:rsidRPr="003F4D4F">
        <w:rPr>
          <w:rFonts w:hint="eastAsia"/>
          <w:rtl/>
        </w:rPr>
        <w:t>הצעת</w:t>
      </w:r>
      <w:r w:rsidRPr="003F4D4F">
        <w:rPr>
          <w:rtl/>
        </w:rPr>
        <w:t xml:space="preserve"> החוק </w:t>
      </w:r>
      <w:r w:rsidR="00B62600">
        <w:rPr>
          <w:rFonts w:hint="cs"/>
          <w:rtl/>
        </w:rPr>
        <w:t>נועדה</w:t>
      </w:r>
      <w:r w:rsidRPr="003F4D4F">
        <w:rPr>
          <w:rtl/>
        </w:rPr>
        <w:t xml:space="preserve"> לקבוע בדין את החובה לעיין בתסקיר מבחן בטרם יורשע חייל ויושת עליו עונש </w:t>
      </w:r>
      <w:r w:rsidRPr="003F4D4F">
        <w:rPr>
          <w:rFonts w:hint="eastAsia"/>
          <w:rtl/>
        </w:rPr>
        <w:t>מאסר</w:t>
      </w:r>
      <w:r w:rsidRPr="003F4D4F">
        <w:rPr>
          <w:rtl/>
        </w:rPr>
        <w:t xml:space="preserve"> </w:t>
      </w:r>
      <w:r w:rsidRPr="003F4D4F">
        <w:rPr>
          <w:rFonts w:hint="eastAsia"/>
          <w:rtl/>
        </w:rPr>
        <w:t>לריצוי</w:t>
      </w:r>
      <w:r w:rsidRPr="003F4D4F">
        <w:rPr>
          <w:rtl/>
        </w:rPr>
        <w:t xml:space="preserve"> </w:t>
      </w:r>
      <w:r w:rsidRPr="003F4D4F">
        <w:rPr>
          <w:rFonts w:hint="eastAsia"/>
          <w:rtl/>
        </w:rPr>
        <w:t>בפועל</w:t>
      </w:r>
      <w:r w:rsidRPr="003F4D4F">
        <w:rPr>
          <w:rtl/>
        </w:rPr>
        <w:t xml:space="preserve">. </w:t>
      </w:r>
      <w:r w:rsidRPr="00D377BC">
        <w:rPr>
          <w:rFonts w:hint="eastAsia"/>
          <w:rtl/>
        </w:rPr>
        <w:t>כידוע</w:t>
      </w:r>
      <w:r w:rsidRPr="00D377BC">
        <w:rPr>
          <w:rtl/>
        </w:rPr>
        <w:t xml:space="preserve">, </w:t>
      </w:r>
      <w:r w:rsidRPr="00D377BC">
        <w:rPr>
          <w:rFonts w:hint="eastAsia"/>
          <w:rtl/>
        </w:rPr>
        <w:t>ה</w:t>
      </w:r>
      <w:r w:rsidRPr="00D377BC">
        <w:rPr>
          <w:rtl/>
        </w:rPr>
        <w:t xml:space="preserve">מערכת המשפטית הצבאית מחמירה </w:t>
      </w:r>
      <w:r w:rsidR="006E6F0A">
        <w:rPr>
          <w:rFonts w:hint="cs"/>
          <w:rtl/>
        </w:rPr>
        <w:t>בעבירות מסוימות</w:t>
      </w:r>
      <w:r w:rsidR="006E6F0A" w:rsidRPr="00D377BC">
        <w:rPr>
          <w:rtl/>
        </w:rPr>
        <w:t xml:space="preserve"> </w:t>
      </w:r>
      <w:r w:rsidRPr="00D377BC">
        <w:rPr>
          <w:rtl/>
        </w:rPr>
        <w:t xml:space="preserve">יותר מהמערכת האזרחית. </w:t>
      </w:r>
      <w:r w:rsidRPr="00D377BC">
        <w:rPr>
          <w:rFonts w:hint="eastAsia"/>
          <w:rtl/>
        </w:rPr>
        <w:t>לעיתים</w:t>
      </w:r>
      <w:r w:rsidRPr="00D377BC">
        <w:rPr>
          <w:rtl/>
        </w:rPr>
        <w:t xml:space="preserve"> </w:t>
      </w:r>
      <w:r w:rsidRPr="00D377BC">
        <w:rPr>
          <w:rFonts w:hint="eastAsia"/>
          <w:rtl/>
        </w:rPr>
        <w:t>זה</w:t>
      </w:r>
      <w:r w:rsidRPr="00D377BC">
        <w:rPr>
          <w:rtl/>
        </w:rPr>
        <w:t xml:space="preserve"> </w:t>
      </w:r>
      <w:r w:rsidRPr="00D377BC">
        <w:rPr>
          <w:rFonts w:hint="eastAsia"/>
          <w:rtl/>
        </w:rPr>
        <w:t>נדרש</w:t>
      </w:r>
      <w:r w:rsidRPr="00D377BC">
        <w:rPr>
          <w:rtl/>
        </w:rPr>
        <w:t xml:space="preserve"> </w:t>
      </w:r>
      <w:r w:rsidRPr="00D377BC">
        <w:rPr>
          <w:rFonts w:hint="eastAsia"/>
          <w:rtl/>
        </w:rPr>
        <w:t>ממהותו</w:t>
      </w:r>
      <w:r w:rsidRPr="00D377BC">
        <w:rPr>
          <w:rtl/>
        </w:rPr>
        <w:t xml:space="preserve"> </w:t>
      </w:r>
      <w:r w:rsidRPr="00D377BC">
        <w:rPr>
          <w:rFonts w:hint="eastAsia"/>
          <w:rtl/>
        </w:rPr>
        <w:t>ומאופיו</w:t>
      </w:r>
      <w:r w:rsidRPr="00D377BC">
        <w:rPr>
          <w:rtl/>
        </w:rPr>
        <w:t xml:space="preserve"> </w:t>
      </w:r>
      <w:r w:rsidRPr="00D377BC">
        <w:rPr>
          <w:rFonts w:hint="eastAsia"/>
          <w:rtl/>
        </w:rPr>
        <w:t>של</w:t>
      </w:r>
      <w:r w:rsidRPr="00D377BC">
        <w:rPr>
          <w:rtl/>
        </w:rPr>
        <w:t xml:space="preserve"> </w:t>
      </w:r>
      <w:r w:rsidRPr="00D377BC">
        <w:rPr>
          <w:rFonts w:hint="eastAsia"/>
          <w:rtl/>
        </w:rPr>
        <w:t>השירות</w:t>
      </w:r>
      <w:r w:rsidRPr="00D377BC">
        <w:rPr>
          <w:rtl/>
        </w:rPr>
        <w:t xml:space="preserve"> </w:t>
      </w:r>
      <w:r w:rsidRPr="00D377BC">
        <w:rPr>
          <w:rFonts w:hint="eastAsia"/>
          <w:rtl/>
        </w:rPr>
        <w:t>בצבא</w:t>
      </w:r>
      <w:r w:rsidRPr="00D377BC">
        <w:rPr>
          <w:rtl/>
        </w:rPr>
        <w:t xml:space="preserve">, </w:t>
      </w:r>
      <w:r w:rsidRPr="00D377BC">
        <w:rPr>
          <w:rFonts w:hint="eastAsia"/>
          <w:rtl/>
        </w:rPr>
        <w:t>אך</w:t>
      </w:r>
      <w:r w:rsidRPr="00D377BC">
        <w:rPr>
          <w:rtl/>
        </w:rPr>
        <w:t xml:space="preserve"> </w:t>
      </w:r>
      <w:r w:rsidRPr="00D377BC">
        <w:rPr>
          <w:rFonts w:hint="eastAsia"/>
          <w:rtl/>
        </w:rPr>
        <w:t>לעתים</w:t>
      </w:r>
      <w:r w:rsidRPr="00D377BC">
        <w:rPr>
          <w:rtl/>
        </w:rPr>
        <w:t xml:space="preserve"> </w:t>
      </w:r>
      <w:r w:rsidRPr="00D377BC">
        <w:rPr>
          <w:rFonts w:hint="eastAsia"/>
          <w:rtl/>
        </w:rPr>
        <w:t>הדבר</w:t>
      </w:r>
      <w:r w:rsidRPr="00D377BC">
        <w:rPr>
          <w:rtl/>
        </w:rPr>
        <w:t xml:space="preserve"> </w:t>
      </w:r>
      <w:r w:rsidRPr="00D377BC">
        <w:rPr>
          <w:rFonts w:hint="eastAsia"/>
          <w:rtl/>
        </w:rPr>
        <w:t>פוגע</w:t>
      </w:r>
      <w:r w:rsidRPr="00D377BC">
        <w:rPr>
          <w:rtl/>
        </w:rPr>
        <w:t xml:space="preserve"> </w:t>
      </w:r>
      <w:r w:rsidRPr="00D377BC">
        <w:rPr>
          <w:rFonts w:hint="eastAsia"/>
          <w:rtl/>
        </w:rPr>
        <w:t>למעלה</w:t>
      </w:r>
      <w:r w:rsidRPr="00D377BC">
        <w:rPr>
          <w:rtl/>
        </w:rPr>
        <w:t xml:space="preserve"> </w:t>
      </w:r>
      <w:r w:rsidRPr="00D377BC">
        <w:rPr>
          <w:rFonts w:hint="eastAsia"/>
          <w:rtl/>
        </w:rPr>
        <w:t>מן</w:t>
      </w:r>
      <w:r w:rsidRPr="00D377BC">
        <w:rPr>
          <w:rtl/>
        </w:rPr>
        <w:t xml:space="preserve"> </w:t>
      </w:r>
      <w:r w:rsidRPr="00D377BC">
        <w:rPr>
          <w:rFonts w:hint="eastAsia"/>
          <w:rtl/>
        </w:rPr>
        <w:t>הנדרש</w:t>
      </w:r>
      <w:r w:rsidRPr="00D377BC">
        <w:rPr>
          <w:rtl/>
        </w:rPr>
        <w:t xml:space="preserve"> בחיילים ובזכויותיהם.</w:t>
      </w:r>
      <w:r w:rsidR="00B62600">
        <w:rPr>
          <w:rtl/>
        </w:rPr>
        <w:t xml:space="preserve"> הצעת חוק </w:t>
      </w:r>
      <w:r w:rsidRPr="003F4D4F">
        <w:rPr>
          <w:rtl/>
        </w:rPr>
        <w:t xml:space="preserve">זו עוסקת בתיקון המצב </w:t>
      </w:r>
      <w:r w:rsidR="00B62600">
        <w:rPr>
          <w:rFonts w:hint="cs"/>
          <w:rtl/>
        </w:rPr>
        <w:t>שלפיו</w:t>
      </w:r>
      <w:r w:rsidRPr="003F4D4F">
        <w:rPr>
          <w:rtl/>
        </w:rPr>
        <w:t xml:space="preserve"> חיילים מופלים לרעה ללא הצדקה עניינית, ב</w:t>
      </w:r>
      <w:r w:rsidR="00B62600">
        <w:rPr>
          <w:rtl/>
        </w:rPr>
        <w:t xml:space="preserve">כך שניתן לגזור עליהם עונש מאסר </w:t>
      </w:r>
      <w:r w:rsidRPr="003F4D4F">
        <w:rPr>
          <w:rtl/>
        </w:rPr>
        <w:t xml:space="preserve">בלי ששופטי המותב בבית הדין הצבאי </w:t>
      </w:r>
      <w:r w:rsidR="002073B6" w:rsidRPr="003F4D4F">
        <w:rPr>
          <w:rFonts w:hint="eastAsia"/>
          <w:rtl/>
        </w:rPr>
        <w:t>נחשפים</w:t>
      </w:r>
      <w:r w:rsidR="002073B6" w:rsidRPr="003F4D4F">
        <w:rPr>
          <w:rtl/>
        </w:rPr>
        <w:t xml:space="preserve"> </w:t>
      </w:r>
      <w:r w:rsidR="00847002" w:rsidRPr="003F4D4F">
        <w:rPr>
          <w:rFonts w:hint="eastAsia"/>
          <w:rtl/>
        </w:rPr>
        <w:t>למצבם</w:t>
      </w:r>
      <w:r w:rsidR="00847002" w:rsidRPr="003F4D4F">
        <w:rPr>
          <w:rtl/>
        </w:rPr>
        <w:t xml:space="preserve"> </w:t>
      </w:r>
      <w:r w:rsidRPr="003F4D4F">
        <w:rPr>
          <w:rFonts w:hint="eastAsia"/>
          <w:rtl/>
        </w:rPr>
        <w:t>האישי</w:t>
      </w:r>
      <w:r w:rsidRPr="003F4D4F">
        <w:rPr>
          <w:rtl/>
        </w:rPr>
        <w:t xml:space="preserve"> </w:t>
      </w:r>
      <w:r w:rsidRPr="003F4D4F">
        <w:rPr>
          <w:rFonts w:hint="eastAsia"/>
          <w:rtl/>
        </w:rPr>
        <w:t>והמשפחתי</w:t>
      </w:r>
      <w:r w:rsidRPr="003F4D4F">
        <w:rPr>
          <w:rtl/>
        </w:rPr>
        <w:t>.</w:t>
      </w:r>
    </w:p>
    <w:p w14:paraId="690DDA9E" w14:textId="281A66F3" w:rsidR="002E4EE2" w:rsidRPr="002E4EE2" w:rsidRDefault="002E4EE2" w:rsidP="00B62600">
      <w:pPr>
        <w:pStyle w:val="Hesber"/>
        <w:rPr>
          <w:rtl/>
        </w:rPr>
      </w:pPr>
      <w:r w:rsidRPr="002E4EE2">
        <w:rPr>
          <w:rFonts w:hint="cs"/>
          <w:rtl/>
        </w:rPr>
        <w:t>כיום, בחוק השיפוט הצבאי</w:t>
      </w:r>
      <w:r w:rsidR="00847002">
        <w:rPr>
          <w:rFonts w:hint="cs"/>
          <w:rtl/>
        </w:rPr>
        <w:t>,</w:t>
      </w:r>
      <w:r w:rsidRPr="002E4EE2">
        <w:rPr>
          <w:rFonts w:hint="cs"/>
          <w:rtl/>
        </w:rPr>
        <w:t xml:space="preserve"> התשט"ו</w:t>
      </w:r>
      <w:r w:rsidR="00293CCF">
        <w:rPr>
          <w:rFonts w:hint="eastAsia"/>
          <w:rtl/>
        </w:rPr>
        <w:t>–</w:t>
      </w:r>
      <w:r w:rsidRPr="002E4EE2">
        <w:rPr>
          <w:rFonts w:hint="cs"/>
          <w:rtl/>
        </w:rPr>
        <w:t>1955</w:t>
      </w:r>
      <w:r w:rsidR="00B62600">
        <w:rPr>
          <w:rFonts w:hint="cs"/>
          <w:rtl/>
        </w:rPr>
        <w:t>,</w:t>
      </w:r>
      <w:r w:rsidRPr="002E4EE2">
        <w:rPr>
          <w:rFonts w:hint="cs"/>
          <w:rtl/>
        </w:rPr>
        <w:t xml:space="preserve"> אין הסדר </w:t>
      </w:r>
      <w:r w:rsidR="00847002">
        <w:rPr>
          <w:rFonts w:hint="cs"/>
          <w:rtl/>
        </w:rPr>
        <w:t xml:space="preserve">המאפשר </w:t>
      </w:r>
      <w:r w:rsidRPr="002E4EE2">
        <w:rPr>
          <w:rFonts w:hint="cs"/>
          <w:rtl/>
        </w:rPr>
        <w:t>קבלת תסקיר מבחן בטרם יושת על נאשם עונש מאסר לריצוי בפועל</w:t>
      </w:r>
      <w:r w:rsidR="00847002">
        <w:rPr>
          <w:rFonts w:hint="cs"/>
          <w:rtl/>
        </w:rPr>
        <w:t>,</w:t>
      </w:r>
      <w:r w:rsidR="00847002" w:rsidRPr="002E4EE2">
        <w:rPr>
          <w:rFonts w:hint="cs"/>
          <w:rtl/>
        </w:rPr>
        <w:t xml:space="preserve"> </w:t>
      </w:r>
      <w:r w:rsidRPr="002E4EE2">
        <w:rPr>
          <w:rFonts w:hint="cs"/>
          <w:rtl/>
        </w:rPr>
        <w:t>זאת</w:t>
      </w:r>
      <w:r w:rsidR="00E847F6">
        <w:rPr>
          <w:rFonts w:hint="cs"/>
          <w:rtl/>
        </w:rPr>
        <w:t>,</w:t>
      </w:r>
      <w:r w:rsidRPr="002E4EE2">
        <w:rPr>
          <w:rFonts w:hint="cs"/>
          <w:rtl/>
        </w:rPr>
        <w:t xml:space="preserve"> להבדיל מהקיים בערכאות אזרחיות.</w:t>
      </w:r>
      <w:r>
        <w:rPr>
          <w:rFonts w:hint="cs"/>
          <w:rtl/>
        </w:rPr>
        <w:t xml:space="preserve"> </w:t>
      </w:r>
      <w:r w:rsidRPr="00847002">
        <w:rPr>
          <w:rFonts w:hint="eastAsia"/>
          <w:rtl/>
        </w:rPr>
        <w:t>בפסיקה</w:t>
      </w:r>
      <w:r w:rsidRPr="00847002">
        <w:rPr>
          <w:rtl/>
        </w:rPr>
        <w:t xml:space="preserve"> </w:t>
      </w:r>
      <w:r w:rsidRPr="00847002">
        <w:rPr>
          <w:rFonts w:hint="eastAsia"/>
          <w:rtl/>
        </w:rPr>
        <w:t>ע</w:t>
      </w:r>
      <w:r w:rsidRPr="002E4EE2">
        <w:rPr>
          <w:rFonts w:hint="cs"/>
          <w:rtl/>
        </w:rPr>
        <w:t xml:space="preserve">קרונית של </w:t>
      </w:r>
      <w:r w:rsidRPr="002E4EE2">
        <w:rPr>
          <w:rtl/>
        </w:rPr>
        <w:t xml:space="preserve">בית המשפט העליון </w:t>
      </w:r>
      <w:r w:rsidRPr="002E4EE2">
        <w:rPr>
          <w:rFonts w:hint="cs"/>
          <w:rtl/>
        </w:rPr>
        <w:t>נ</w:t>
      </w:r>
      <w:r w:rsidRPr="002E4EE2">
        <w:rPr>
          <w:rtl/>
        </w:rPr>
        <w:t xml:space="preserve">קבע שתסקיר שירות המבחן הוא כלי חיוני ומשמעותי, המסייע </w:t>
      </w:r>
      <w:r w:rsidRPr="002E4EE2">
        <w:rPr>
          <w:rFonts w:hint="cs"/>
          <w:rtl/>
        </w:rPr>
        <w:t>ל</w:t>
      </w:r>
      <w:r w:rsidRPr="002E4EE2">
        <w:rPr>
          <w:rtl/>
        </w:rPr>
        <w:t xml:space="preserve">עבודת השופט בעת גזר הדין </w:t>
      </w:r>
      <w:r w:rsidRPr="002E4EE2">
        <w:rPr>
          <w:rFonts w:hint="cs"/>
          <w:rtl/>
        </w:rPr>
        <w:t xml:space="preserve">ומתן העונש </w:t>
      </w:r>
      <w:r w:rsidRPr="002E4EE2">
        <w:rPr>
          <w:rtl/>
        </w:rPr>
        <w:t>הראוי</w:t>
      </w:r>
      <w:r w:rsidRPr="002E4EE2">
        <w:rPr>
          <w:rFonts w:hint="cs"/>
          <w:rtl/>
        </w:rPr>
        <w:t xml:space="preserve"> בנסיבות </w:t>
      </w:r>
      <w:r w:rsidRPr="002E4EE2">
        <w:rPr>
          <w:rtl/>
        </w:rPr>
        <w:t>העניין</w:t>
      </w:r>
      <w:r w:rsidR="00B62600">
        <w:rPr>
          <w:rFonts w:hint="cs"/>
          <w:rtl/>
        </w:rPr>
        <w:t>.</w:t>
      </w:r>
      <w:r w:rsidRPr="002E4EE2">
        <w:rPr>
          <w:rtl/>
        </w:rPr>
        <w:t xml:space="preserve"> הנשיא </w:t>
      </w:r>
      <w:r w:rsidRPr="002E4EE2">
        <w:rPr>
          <w:rFonts w:hint="cs"/>
          <w:rtl/>
        </w:rPr>
        <w:t>אהרון</w:t>
      </w:r>
      <w:r w:rsidRPr="002E4EE2">
        <w:rPr>
          <w:rtl/>
        </w:rPr>
        <w:t xml:space="preserve"> ברק</w:t>
      </w:r>
      <w:r w:rsidRPr="002E4EE2">
        <w:rPr>
          <w:rFonts w:hint="cs"/>
          <w:rtl/>
        </w:rPr>
        <w:t xml:space="preserve"> קבע כי זאת</w:t>
      </w:r>
      <w:r w:rsidR="00390A85">
        <w:rPr>
          <w:rtl/>
        </w:rPr>
        <w:t xml:space="preserve"> "תמונה</w:t>
      </w:r>
      <w:r w:rsidRPr="002E4EE2">
        <w:rPr>
          <w:rtl/>
        </w:rPr>
        <w:t xml:space="preserve"> </w:t>
      </w:r>
      <w:r w:rsidRPr="002E4EE2">
        <w:rPr>
          <w:rFonts w:hint="cs"/>
          <w:rtl/>
        </w:rPr>
        <w:t>אמתית</w:t>
      </w:r>
      <w:r w:rsidRPr="002E4EE2">
        <w:rPr>
          <w:rtl/>
        </w:rPr>
        <w:t>, או</w:t>
      </w:r>
      <w:r w:rsidR="00390A85">
        <w:rPr>
          <w:rtl/>
        </w:rPr>
        <w:t>בייקטיבית, מהימנה ושלמה של הנאש</w:t>
      </w:r>
      <w:r w:rsidR="00390A85">
        <w:rPr>
          <w:rFonts w:hint="cs"/>
          <w:rtl/>
        </w:rPr>
        <w:t>ם"</w:t>
      </w:r>
      <w:r w:rsidR="00E5596C">
        <w:rPr>
          <w:rFonts w:hint="cs"/>
          <w:rtl/>
        </w:rPr>
        <w:t xml:space="preserve"> (</w:t>
      </w:r>
      <w:r w:rsidR="00E5596C" w:rsidRPr="00D377BC">
        <w:rPr>
          <w:rFonts w:hint="eastAsia"/>
          <w:rtl/>
        </w:rPr>
        <w:t>ע</w:t>
      </w:r>
      <w:r w:rsidR="00E5596C">
        <w:rPr>
          <w:rFonts w:hint="cs"/>
          <w:rtl/>
        </w:rPr>
        <w:t>"</w:t>
      </w:r>
      <w:r w:rsidR="00E5596C" w:rsidRPr="00D377BC">
        <w:rPr>
          <w:rFonts w:hint="eastAsia"/>
          <w:rtl/>
        </w:rPr>
        <w:t>פ 286/79 </w:t>
      </w:r>
      <w:r w:rsidR="00E5596C" w:rsidRPr="00B62600">
        <w:rPr>
          <w:rFonts w:hint="eastAsia"/>
          <w:b/>
          <w:bCs/>
          <w:rtl/>
        </w:rPr>
        <w:t>יחיא מוחמד חיג'אזי נ</w:t>
      </w:r>
      <w:r w:rsidR="00E5596C" w:rsidRPr="00B62600">
        <w:rPr>
          <w:rFonts w:hint="cs"/>
          <w:b/>
          <w:bCs/>
          <w:rtl/>
        </w:rPr>
        <w:t xml:space="preserve">' </w:t>
      </w:r>
      <w:r w:rsidR="00E5596C" w:rsidRPr="00B62600">
        <w:rPr>
          <w:rFonts w:hint="eastAsia"/>
          <w:b/>
          <w:bCs/>
          <w:rtl/>
        </w:rPr>
        <w:t>מדינת ישראל</w:t>
      </w:r>
      <w:r w:rsidR="00E5596C">
        <w:rPr>
          <w:rFonts w:hint="cs"/>
          <w:rtl/>
        </w:rPr>
        <w:t>,</w:t>
      </w:r>
      <w:r w:rsidR="00E5596C" w:rsidRPr="00D377BC">
        <w:rPr>
          <w:rFonts w:hint="eastAsia"/>
        </w:rPr>
        <w:t xml:space="preserve"> </w:t>
      </w:r>
      <w:r w:rsidR="00E5596C" w:rsidRPr="00D377BC">
        <w:rPr>
          <w:rFonts w:hint="eastAsia"/>
          <w:rtl/>
        </w:rPr>
        <w:t>לג (3) 753</w:t>
      </w:r>
      <w:r w:rsidR="00E5596C">
        <w:rPr>
          <w:rFonts w:hint="cs"/>
          <w:rtl/>
        </w:rPr>
        <w:t>)</w:t>
      </w:r>
      <w:r w:rsidR="002073B6">
        <w:rPr>
          <w:rFonts w:hint="cs"/>
          <w:rtl/>
        </w:rPr>
        <w:t>.</w:t>
      </w:r>
      <w:r w:rsidR="00390A85">
        <w:rPr>
          <w:rFonts w:hint="cs"/>
          <w:rtl/>
        </w:rPr>
        <w:t xml:space="preserve"> </w:t>
      </w:r>
      <w:r w:rsidRPr="002E4EE2">
        <w:rPr>
          <w:rFonts w:hint="cs"/>
          <w:rtl/>
        </w:rPr>
        <w:t>יש מקרים לא מעטים</w:t>
      </w:r>
      <w:r w:rsidRPr="002E4EE2">
        <w:rPr>
          <w:rtl/>
        </w:rPr>
        <w:t xml:space="preserve"> </w:t>
      </w:r>
      <w:r w:rsidRPr="002E4EE2">
        <w:rPr>
          <w:rFonts w:hint="cs"/>
          <w:rtl/>
        </w:rPr>
        <w:t>ש</w:t>
      </w:r>
      <w:r w:rsidRPr="002E4EE2">
        <w:rPr>
          <w:rtl/>
        </w:rPr>
        <w:t>התסקיר מוביל להטלת עונש מקל מתוך כוונה לאפשר</w:t>
      </w:r>
      <w:r w:rsidRPr="002E4EE2">
        <w:rPr>
          <w:rFonts w:hint="cs"/>
          <w:rtl/>
        </w:rPr>
        <w:t xml:space="preserve"> את שיקומו של הנאשם בהתחשב בנסיבותיו האישיות. הדבר הניתן לכל נאשם</w:t>
      </w:r>
      <w:r w:rsidR="00390A85">
        <w:rPr>
          <w:rFonts w:hint="cs"/>
          <w:rtl/>
        </w:rPr>
        <w:t xml:space="preserve"> במדינת ישראל לא ניתן לחיילים</w:t>
      </w:r>
      <w:r w:rsidR="002073B6">
        <w:rPr>
          <w:rFonts w:hint="cs"/>
          <w:rtl/>
        </w:rPr>
        <w:t>,</w:t>
      </w:r>
      <w:r w:rsidR="00390A85">
        <w:rPr>
          <w:rFonts w:hint="cs"/>
          <w:rtl/>
        </w:rPr>
        <w:t xml:space="preserve"> ו</w:t>
      </w:r>
      <w:r w:rsidRPr="002E4EE2">
        <w:rPr>
          <w:rFonts w:hint="cs"/>
          <w:rtl/>
        </w:rPr>
        <w:t>הלכה למעשה אין גורם אובייקטיבי הנותן לשופטי המותב בבי</w:t>
      </w:r>
      <w:r w:rsidR="00390A85">
        <w:rPr>
          <w:rFonts w:hint="cs"/>
          <w:rtl/>
        </w:rPr>
        <w:t xml:space="preserve">ת הדין הצבאי חוות דעת </w:t>
      </w:r>
      <w:r w:rsidR="002073B6">
        <w:rPr>
          <w:rFonts w:hint="cs"/>
          <w:rtl/>
        </w:rPr>
        <w:t xml:space="preserve">המעיד </w:t>
      </w:r>
      <w:r w:rsidR="00390A85">
        <w:rPr>
          <w:rFonts w:hint="cs"/>
          <w:rtl/>
        </w:rPr>
        <w:t xml:space="preserve">על </w:t>
      </w:r>
      <w:r w:rsidR="00512569">
        <w:rPr>
          <w:rFonts w:hint="cs"/>
          <w:rtl/>
        </w:rPr>
        <w:t xml:space="preserve">הרקע ממנו בא </w:t>
      </w:r>
      <w:r w:rsidR="00390A85">
        <w:rPr>
          <w:rFonts w:hint="cs"/>
          <w:rtl/>
        </w:rPr>
        <w:t>הנאשם</w:t>
      </w:r>
      <w:r w:rsidRPr="002E4EE2">
        <w:rPr>
          <w:rFonts w:hint="cs"/>
          <w:rtl/>
        </w:rPr>
        <w:t>.</w:t>
      </w:r>
      <w:r w:rsidR="00390A85">
        <w:rPr>
          <w:rFonts w:hint="cs"/>
          <w:rtl/>
        </w:rPr>
        <w:t xml:space="preserve"> </w:t>
      </w:r>
    </w:p>
    <w:p w14:paraId="51AA2747" w14:textId="03D8CDB6" w:rsidR="002E4EE2" w:rsidRPr="002E4EE2" w:rsidRDefault="002E4EE2" w:rsidP="00B62600">
      <w:pPr>
        <w:pStyle w:val="Hesber"/>
        <w:rPr>
          <w:rtl/>
        </w:rPr>
      </w:pPr>
      <w:r w:rsidRPr="002E4EE2">
        <w:rPr>
          <w:rFonts w:hint="cs"/>
          <w:rtl/>
        </w:rPr>
        <w:t>אוכלוסיית חיילי החובה</w:t>
      </w:r>
      <w:r w:rsidR="00512569">
        <w:rPr>
          <w:rFonts w:hint="cs"/>
          <w:rtl/>
        </w:rPr>
        <w:t xml:space="preserve"> </w:t>
      </w:r>
      <w:r w:rsidRPr="002E4EE2">
        <w:rPr>
          <w:rFonts w:hint="cs"/>
          <w:rtl/>
        </w:rPr>
        <w:t>מטבעה אינה אוכלוסייה עבריינית</w:t>
      </w:r>
      <w:r w:rsidR="00512569">
        <w:rPr>
          <w:rFonts w:hint="cs"/>
          <w:rtl/>
        </w:rPr>
        <w:t>,</w:t>
      </w:r>
      <w:r w:rsidRPr="002E4EE2">
        <w:rPr>
          <w:rFonts w:hint="cs"/>
          <w:rtl/>
        </w:rPr>
        <w:t xml:space="preserve"> ולכן חייל שמעד זכאי </w:t>
      </w:r>
      <w:r w:rsidR="00512569">
        <w:rPr>
          <w:rFonts w:hint="cs"/>
          <w:rtl/>
        </w:rPr>
        <w:t>ש</w:t>
      </w:r>
      <w:r w:rsidRPr="002E4EE2">
        <w:rPr>
          <w:rFonts w:hint="cs"/>
          <w:rtl/>
        </w:rPr>
        <w:t>עניינו י</w:t>
      </w:r>
      <w:r w:rsidR="00B62600">
        <w:rPr>
          <w:rFonts w:hint="cs"/>
          <w:rtl/>
        </w:rPr>
        <w:t>י</w:t>
      </w:r>
      <w:r w:rsidRPr="002E4EE2">
        <w:rPr>
          <w:rFonts w:hint="cs"/>
          <w:rtl/>
        </w:rPr>
        <w:t xml:space="preserve">בחן </w:t>
      </w:r>
      <w:r w:rsidR="00113622">
        <w:rPr>
          <w:rFonts w:hint="cs"/>
          <w:rtl/>
        </w:rPr>
        <w:t>תחת</w:t>
      </w:r>
      <w:r w:rsidR="002073B6" w:rsidRPr="002E4EE2">
        <w:rPr>
          <w:rFonts w:hint="cs"/>
          <w:rtl/>
        </w:rPr>
        <w:t xml:space="preserve"> </w:t>
      </w:r>
      <w:r w:rsidR="00EF3E0D">
        <w:rPr>
          <w:rFonts w:hint="cs"/>
          <w:rtl/>
        </w:rPr>
        <w:t>"</w:t>
      </w:r>
      <w:r w:rsidRPr="002E4EE2">
        <w:rPr>
          <w:rFonts w:hint="cs"/>
          <w:rtl/>
        </w:rPr>
        <w:t>משקפיים שיקומיות</w:t>
      </w:r>
      <w:r w:rsidR="00EF3E0D">
        <w:rPr>
          <w:rFonts w:hint="cs"/>
          <w:rtl/>
        </w:rPr>
        <w:t>"</w:t>
      </w:r>
      <w:r w:rsidRPr="002E4EE2">
        <w:rPr>
          <w:rFonts w:hint="cs"/>
          <w:rtl/>
        </w:rPr>
        <w:t xml:space="preserve"> וכי לא ייגזר עליו </w:t>
      </w:r>
      <w:r w:rsidR="00EF3E0D" w:rsidRPr="002E4EE2">
        <w:rPr>
          <w:rFonts w:hint="cs"/>
          <w:rtl/>
        </w:rPr>
        <w:t>לה</w:t>
      </w:r>
      <w:r w:rsidR="00EF3E0D">
        <w:rPr>
          <w:rFonts w:hint="cs"/>
          <w:rtl/>
        </w:rPr>
        <w:t>יכנס</w:t>
      </w:r>
      <w:r w:rsidR="00EF3E0D" w:rsidRPr="002E4EE2">
        <w:rPr>
          <w:rFonts w:hint="cs"/>
          <w:rtl/>
        </w:rPr>
        <w:t xml:space="preserve"> </w:t>
      </w:r>
      <w:r w:rsidR="00EF3E0D">
        <w:rPr>
          <w:rFonts w:hint="cs"/>
          <w:rtl/>
        </w:rPr>
        <w:t>לבית הסוהר</w:t>
      </w:r>
      <w:r w:rsidR="00EF3E0D" w:rsidRPr="002E4EE2">
        <w:rPr>
          <w:rFonts w:hint="cs"/>
          <w:rtl/>
        </w:rPr>
        <w:t xml:space="preserve"> </w:t>
      </w:r>
      <w:r w:rsidRPr="002E4EE2">
        <w:rPr>
          <w:rFonts w:hint="cs"/>
          <w:rtl/>
        </w:rPr>
        <w:t>בטרם שופט צבאי בחן את מצבו האישי</w:t>
      </w:r>
      <w:r w:rsidR="00EF3E0D">
        <w:rPr>
          <w:rFonts w:hint="cs"/>
          <w:rtl/>
        </w:rPr>
        <w:t xml:space="preserve"> וה</w:t>
      </w:r>
      <w:r w:rsidRPr="002E4EE2">
        <w:rPr>
          <w:rFonts w:hint="cs"/>
          <w:rtl/>
        </w:rPr>
        <w:t>משפחתי.</w:t>
      </w:r>
      <w:r w:rsidR="00EF3E0D">
        <w:rPr>
          <w:rFonts w:hint="cs"/>
          <w:rtl/>
        </w:rPr>
        <w:t xml:space="preserve"> </w:t>
      </w:r>
      <w:r w:rsidRPr="002E4EE2">
        <w:rPr>
          <w:rFonts w:hint="cs"/>
          <w:rtl/>
        </w:rPr>
        <w:t>בה</w:t>
      </w:r>
      <w:r w:rsidR="00390A85">
        <w:rPr>
          <w:rFonts w:hint="cs"/>
          <w:rtl/>
        </w:rPr>
        <w:t>י</w:t>
      </w:r>
      <w:r w:rsidRPr="002E4EE2">
        <w:rPr>
          <w:rFonts w:hint="cs"/>
          <w:rtl/>
        </w:rPr>
        <w:t xml:space="preserve">עדר </w:t>
      </w:r>
      <w:r w:rsidRPr="002E4EE2">
        <w:rPr>
          <w:rtl/>
        </w:rPr>
        <w:t>הצדקה ל</w:t>
      </w:r>
      <w:r w:rsidR="00B62600">
        <w:rPr>
          <w:rFonts w:hint="cs"/>
          <w:rtl/>
        </w:rPr>
        <w:t>ה</w:t>
      </w:r>
      <w:r w:rsidRPr="002E4EE2">
        <w:rPr>
          <w:rtl/>
        </w:rPr>
        <w:t xml:space="preserve">פליית חיילי </w:t>
      </w:r>
      <w:r w:rsidR="00EF3E0D">
        <w:rPr>
          <w:rFonts w:hint="cs"/>
          <w:rtl/>
        </w:rPr>
        <w:t>צבא הגנה לישראל</w:t>
      </w:r>
      <w:r w:rsidRPr="002E4EE2">
        <w:rPr>
          <w:rtl/>
        </w:rPr>
        <w:t xml:space="preserve"> </w:t>
      </w:r>
      <w:r w:rsidRPr="002E4EE2">
        <w:rPr>
          <w:rFonts w:hint="cs"/>
          <w:rtl/>
        </w:rPr>
        <w:t xml:space="preserve">אל מול </w:t>
      </w:r>
      <w:r w:rsidR="00EF3E0D">
        <w:rPr>
          <w:rFonts w:hint="cs"/>
          <w:rtl/>
        </w:rPr>
        <w:t>שאר ה</w:t>
      </w:r>
      <w:r w:rsidR="00EF3E0D" w:rsidRPr="002E4EE2">
        <w:rPr>
          <w:rFonts w:hint="cs"/>
          <w:rtl/>
        </w:rPr>
        <w:t>אזרחים</w:t>
      </w:r>
      <w:r w:rsidR="003F4D4F">
        <w:rPr>
          <w:rFonts w:hint="cs"/>
          <w:rtl/>
        </w:rPr>
        <w:t xml:space="preserve"> במדינת ישראל</w:t>
      </w:r>
      <w:r w:rsidR="00EF3E0D">
        <w:rPr>
          <w:rFonts w:hint="cs"/>
          <w:rtl/>
        </w:rPr>
        <w:t>,</w:t>
      </w:r>
      <w:r w:rsidR="00EF3E0D" w:rsidRPr="002E4EE2">
        <w:rPr>
          <w:rFonts w:hint="cs"/>
          <w:rtl/>
        </w:rPr>
        <w:t xml:space="preserve"> </w:t>
      </w:r>
      <w:r w:rsidRPr="002E4EE2">
        <w:rPr>
          <w:rFonts w:hint="cs"/>
          <w:rtl/>
        </w:rPr>
        <w:t>הצעת החוק מאמצת כלשונו את ההסדר הקיים בחוק העונשין, התשל"ז</w:t>
      </w:r>
      <w:r w:rsidR="00EF3E0D">
        <w:rPr>
          <w:rFonts w:hint="eastAsia"/>
          <w:rtl/>
        </w:rPr>
        <w:t>–</w:t>
      </w:r>
      <w:r w:rsidRPr="002E4EE2">
        <w:rPr>
          <w:rFonts w:hint="cs"/>
          <w:rtl/>
        </w:rPr>
        <w:t>197</w:t>
      </w:r>
      <w:r w:rsidR="00EF3E0D">
        <w:rPr>
          <w:rFonts w:hint="cs"/>
          <w:rtl/>
        </w:rPr>
        <w:t xml:space="preserve">7, ומחילה אותו על המערכת הצבאית. </w:t>
      </w:r>
    </w:p>
    <w:p w14:paraId="07B1BC31" w14:textId="744FCDDC" w:rsidR="002E4EE2" w:rsidRDefault="002E4EE2" w:rsidP="00B62600">
      <w:pPr>
        <w:pStyle w:val="Hesber"/>
        <w:rPr>
          <w:rtl/>
        </w:rPr>
      </w:pPr>
      <w:r w:rsidRPr="002E4EE2">
        <w:rPr>
          <w:rFonts w:hint="cs"/>
          <w:rtl/>
        </w:rPr>
        <w:t xml:space="preserve">כדי להקים שירותי מבחן נקבע </w:t>
      </w:r>
      <w:r w:rsidR="003F4D4F" w:rsidRPr="002E4EE2">
        <w:rPr>
          <w:rFonts w:hint="cs"/>
          <w:rtl/>
        </w:rPr>
        <w:t>בהצע</w:t>
      </w:r>
      <w:r w:rsidR="003F4D4F">
        <w:rPr>
          <w:rFonts w:hint="cs"/>
          <w:rtl/>
        </w:rPr>
        <w:t>ת החוק</w:t>
      </w:r>
      <w:r w:rsidR="003F4D4F" w:rsidRPr="002E4EE2">
        <w:rPr>
          <w:rFonts w:hint="cs"/>
          <w:rtl/>
        </w:rPr>
        <w:t xml:space="preserve"> </w:t>
      </w:r>
      <w:r w:rsidRPr="002E4EE2">
        <w:rPr>
          <w:rFonts w:hint="cs"/>
          <w:rtl/>
        </w:rPr>
        <w:t>שהרמטכ"ל</w:t>
      </w:r>
      <w:r w:rsidR="00EF3E0D">
        <w:rPr>
          <w:rFonts w:hint="cs"/>
          <w:rtl/>
        </w:rPr>
        <w:t xml:space="preserve"> ימנה </w:t>
      </w:r>
      <w:r w:rsidR="00EF3E0D" w:rsidRPr="00A63542">
        <w:rPr>
          <w:rFonts w:ascii="David" w:hAnsi="David" w:hint="cs"/>
          <w:sz w:val="26"/>
          <w:rtl/>
        </w:rPr>
        <w:t>קציני מבחן בעלי הכשרה מקצועית וניסיון מתאימים</w:t>
      </w:r>
      <w:r w:rsidR="003F4D4F">
        <w:rPr>
          <w:rFonts w:hint="cs"/>
          <w:rtl/>
        </w:rPr>
        <w:t xml:space="preserve">. </w:t>
      </w:r>
      <w:r w:rsidR="00EF3E0D">
        <w:rPr>
          <w:rFonts w:hint="cs"/>
          <w:rtl/>
        </w:rPr>
        <w:t>באופן זה</w:t>
      </w:r>
      <w:r w:rsidRPr="002E4EE2">
        <w:rPr>
          <w:rFonts w:hint="cs"/>
          <w:rtl/>
        </w:rPr>
        <w:t xml:space="preserve"> </w:t>
      </w:r>
      <w:r w:rsidR="003F4D4F">
        <w:rPr>
          <w:rFonts w:hint="cs"/>
          <w:rtl/>
        </w:rPr>
        <w:t xml:space="preserve">יחול </w:t>
      </w:r>
      <w:r w:rsidRPr="002E4EE2">
        <w:rPr>
          <w:rFonts w:hint="cs"/>
          <w:rtl/>
        </w:rPr>
        <w:t xml:space="preserve">בצבא ההגנה לישראל שירות מבחן </w:t>
      </w:r>
      <w:r w:rsidR="00B62600">
        <w:rPr>
          <w:rFonts w:hint="cs"/>
          <w:rtl/>
        </w:rPr>
        <w:t>ש</w:t>
      </w:r>
      <w:r w:rsidR="00EF3E0D">
        <w:rPr>
          <w:rFonts w:hint="cs"/>
          <w:rtl/>
        </w:rPr>
        <w:t>בו יפעלו</w:t>
      </w:r>
      <w:r w:rsidR="00EF3E0D" w:rsidRPr="002E4EE2">
        <w:rPr>
          <w:rFonts w:hint="cs"/>
          <w:rtl/>
        </w:rPr>
        <w:t xml:space="preserve"> </w:t>
      </w:r>
      <w:r w:rsidRPr="002E4EE2">
        <w:rPr>
          <w:rFonts w:hint="cs"/>
          <w:rtl/>
        </w:rPr>
        <w:t>קציני מבחן שיתנו תסקירי מבחן</w:t>
      </w:r>
      <w:r w:rsidR="003F4D4F">
        <w:rPr>
          <w:rFonts w:hint="cs"/>
          <w:rtl/>
        </w:rPr>
        <w:t xml:space="preserve"> לבקשתם של</w:t>
      </w:r>
      <w:r w:rsidRPr="002E4EE2">
        <w:rPr>
          <w:rFonts w:hint="cs"/>
          <w:rtl/>
        </w:rPr>
        <w:t xml:space="preserve"> שופטי </w:t>
      </w:r>
      <w:r w:rsidR="00EF3E0D" w:rsidRPr="002E4EE2">
        <w:rPr>
          <w:rFonts w:hint="cs"/>
          <w:rtl/>
        </w:rPr>
        <w:t>ב</w:t>
      </w:r>
      <w:r w:rsidR="00EF3E0D">
        <w:rPr>
          <w:rFonts w:hint="cs"/>
          <w:rtl/>
        </w:rPr>
        <w:t>תי</w:t>
      </w:r>
      <w:r w:rsidR="00EF3E0D" w:rsidRPr="002E4EE2">
        <w:rPr>
          <w:rFonts w:hint="cs"/>
          <w:rtl/>
        </w:rPr>
        <w:t xml:space="preserve"> </w:t>
      </w:r>
      <w:r w:rsidRPr="002E4EE2">
        <w:rPr>
          <w:rFonts w:hint="cs"/>
          <w:rtl/>
        </w:rPr>
        <w:t>הדין הצבאי</w:t>
      </w:r>
      <w:r w:rsidR="00EF3E0D">
        <w:rPr>
          <w:rFonts w:hint="cs"/>
          <w:rtl/>
        </w:rPr>
        <w:t>ים</w:t>
      </w:r>
      <w:r w:rsidRPr="002E4EE2">
        <w:rPr>
          <w:rFonts w:hint="cs"/>
          <w:rtl/>
        </w:rPr>
        <w:t>.</w:t>
      </w:r>
      <w:r w:rsidR="003F4D4F">
        <w:rPr>
          <w:rFonts w:hint="cs"/>
          <w:rtl/>
        </w:rPr>
        <w:t xml:space="preserve"> </w:t>
      </w:r>
    </w:p>
    <w:p w14:paraId="1A7E1849" w14:textId="77777777" w:rsidR="00B62600" w:rsidRPr="00D73212" w:rsidRDefault="00B62600" w:rsidP="00B62600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72765746" w14:textId="77777777" w:rsidR="00B62600" w:rsidRPr="00D73212" w:rsidRDefault="00B62600" w:rsidP="00B62600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40FEFF75" w14:textId="77777777" w:rsidR="00B62600" w:rsidRPr="00D73212" w:rsidRDefault="00B62600" w:rsidP="00B62600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119AFC0E" w14:textId="77777777" w:rsidR="00B62600" w:rsidRPr="00317312" w:rsidRDefault="00B62600" w:rsidP="00B62600">
      <w:pPr>
        <w:pStyle w:val="Hesber"/>
      </w:pPr>
      <w:r>
        <w:rPr>
          <w:rFonts w:hint="cs"/>
          <w:color w:val="auto"/>
          <w:rtl/>
          <w:lang w:eastAsia="en-US"/>
        </w:rPr>
        <w:t>כ"ח בטבת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15.1.18</w:t>
      </w:r>
      <w:bookmarkStart w:id="8" w:name="_GoBack"/>
      <w:bookmarkEnd w:id="8"/>
    </w:p>
    <w:sectPr w:rsidR="00B62600" w:rsidRPr="00317312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B62600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472AEDCB" w14:textId="4ED3606A" w:rsidR="002E4EE2" w:rsidRDefault="002E4EE2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התשט"ו, עמ' 171.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3275"/>
    <w:rsid w:val="000A542E"/>
    <w:rsid w:val="000C325D"/>
    <w:rsid w:val="000F263D"/>
    <w:rsid w:val="00102B6B"/>
    <w:rsid w:val="001052D4"/>
    <w:rsid w:val="0010644B"/>
    <w:rsid w:val="00113622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1E631F"/>
    <w:rsid w:val="00203A7F"/>
    <w:rsid w:val="002073B6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93CCF"/>
    <w:rsid w:val="002A487D"/>
    <w:rsid w:val="002C2E29"/>
    <w:rsid w:val="002C3041"/>
    <w:rsid w:val="002D1EE3"/>
    <w:rsid w:val="002E4EE2"/>
    <w:rsid w:val="002F1D80"/>
    <w:rsid w:val="00321D97"/>
    <w:rsid w:val="003232A2"/>
    <w:rsid w:val="00325C14"/>
    <w:rsid w:val="0035495D"/>
    <w:rsid w:val="0036422C"/>
    <w:rsid w:val="003710F6"/>
    <w:rsid w:val="00386E88"/>
    <w:rsid w:val="00390A85"/>
    <w:rsid w:val="00396585"/>
    <w:rsid w:val="003D6E38"/>
    <w:rsid w:val="003D74A0"/>
    <w:rsid w:val="003F4D4F"/>
    <w:rsid w:val="004033D8"/>
    <w:rsid w:val="004073F0"/>
    <w:rsid w:val="00412A7D"/>
    <w:rsid w:val="00416B4D"/>
    <w:rsid w:val="00417CFC"/>
    <w:rsid w:val="00457CDC"/>
    <w:rsid w:val="004A06DC"/>
    <w:rsid w:val="004B24ED"/>
    <w:rsid w:val="004B6625"/>
    <w:rsid w:val="004D2D82"/>
    <w:rsid w:val="004D3876"/>
    <w:rsid w:val="004E4552"/>
    <w:rsid w:val="004E6CDF"/>
    <w:rsid w:val="00512569"/>
    <w:rsid w:val="00553C9D"/>
    <w:rsid w:val="00562A66"/>
    <w:rsid w:val="005B064E"/>
    <w:rsid w:val="005D51AE"/>
    <w:rsid w:val="0062674B"/>
    <w:rsid w:val="006363B2"/>
    <w:rsid w:val="00644940"/>
    <w:rsid w:val="00657149"/>
    <w:rsid w:val="006818A9"/>
    <w:rsid w:val="006A2D81"/>
    <w:rsid w:val="006C1D0D"/>
    <w:rsid w:val="006E6F0A"/>
    <w:rsid w:val="0070601E"/>
    <w:rsid w:val="00712C72"/>
    <w:rsid w:val="0071654B"/>
    <w:rsid w:val="0072601A"/>
    <w:rsid w:val="00735FE9"/>
    <w:rsid w:val="00763CAA"/>
    <w:rsid w:val="00765F66"/>
    <w:rsid w:val="0078664F"/>
    <w:rsid w:val="007C2EBD"/>
    <w:rsid w:val="007C3FA6"/>
    <w:rsid w:val="007D585A"/>
    <w:rsid w:val="007D5A12"/>
    <w:rsid w:val="007E59F9"/>
    <w:rsid w:val="00810BCD"/>
    <w:rsid w:val="00812C98"/>
    <w:rsid w:val="00813B83"/>
    <w:rsid w:val="00814D92"/>
    <w:rsid w:val="0083181D"/>
    <w:rsid w:val="00843EB2"/>
    <w:rsid w:val="0084700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B00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62600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7774"/>
    <w:rsid w:val="00D377BC"/>
    <w:rsid w:val="00D63620"/>
    <w:rsid w:val="00D8410D"/>
    <w:rsid w:val="00D867D7"/>
    <w:rsid w:val="00DB0D59"/>
    <w:rsid w:val="00DB7060"/>
    <w:rsid w:val="00DC215F"/>
    <w:rsid w:val="00DE3153"/>
    <w:rsid w:val="00E06736"/>
    <w:rsid w:val="00E13C27"/>
    <w:rsid w:val="00E33BBD"/>
    <w:rsid w:val="00E374F2"/>
    <w:rsid w:val="00E45103"/>
    <w:rsid w:val="00E5596C"/>
    <w:rsid w:val="00E55A60"/>
    <w:rsid w:val="00E62778"/>
    <w:rsid w:val="00E63D38"/>
    <w:rsid w:val="00E665B9"/>
    <w:rsid w:val="00E847F6"/>
    <w:rsid w:val="00EA01E6"/>
    <w:rsid w:val="00EA3DE8"/>
    <w:rsid w:val="00EA758F"/>
    <w:rsid w:val="00EB504D"/>
    <w:rsid w:val="00ED4A6F"/>
    <w:rsid w:val="00EF3A3A"/>
    <w:rsid w:val="00EF3E0D"/>
    <w:rsid w:val="00F628D6"/>
    <w:rsid w:val="00F67051"/>
    <w:rsid w:val="00F86A1E"/>
    <w:rsid w:val="00FA5E88"/>
    <w:rsid w:val="00FE0A96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85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390A85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390A85"/>
    <w:rPr>
      <w:sz w:val="36"/>
      <w:szCs w:val="52"/>
    </w:rPr>
  </w:style>
  <w:style w:type="paragraph" w:customStyle="1" w:styleId="Cover3-Haknesset">
    <w:name w:val="Cover 3-Haknesset"/>
    <w:basedOn w:val="Cover1-Reshumot"/>
    <w:rsid w:val="00390A85"/>
    <w:rPr>
      <w:b/>
      <w:bCs/>
      <w:spacing w:val="60"/>
    </w:rPr>
  </w:style>
  <w:style w:type="paragraph" w:customStyle="1" w:styleId="Cover4-Date">
    <w:name w:val="Cover 4-Date"/>
    <w:basedOn w:val="a"/>
    <w:rsid w:val="00390A85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390A85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390A85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390A85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390A85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390A85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390A85"/>
  </w:style>
  <w:style w:type="paragraph" w:customStyle="1" w:styleId="TableBlock">
    <w:name w:val="Table Block"/>
    <w:basedOn w:val="TableText"/>
    <w:rsid w:val="00390A85"/>
    <w:pPr>
      <w:ind w:right="0"/>
      <w:jc w:val="both"/>
    </w:pPr>
  </w:style>
  <w:style w:type="paragraph" w:customStyle="1" w:styleId="TableHead">
    <w:name w:val="Table Head"/>
    <w:basedOn w:val="TableText"/>
    <w:rsid w:val="00390A85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390A85"/>
  </w:style>
  <w:style w:type="paragraph" w:customStyle="1" w:styleId="Hesber">
    <w:name w:val="Hesber"/>
    <w:basedOn w:val="a"/>
    <w:rsid w:val="00390A85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390A85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390A85"/>
    <w:rPr>
      <w:vertAlign w:val="superscript"/>
    </w:rPr>
  </w:style>
  <w:style w:type="paragraph" w:customStyle="1" w:styleId="HesberHeading">
    <w:name w:val="Hesber Heading"/>
    <w:basedOn w:val="Hesber"/>
    <w:rsid w:val="00390A85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390A85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390A85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390A85"/>
    <w:rPr>
      <w:vertAlign w:val="superscript"/>
    </w:rPr>
  </w:style>
  <w:style w:type="paragraph" w:customStyle="1" w:styleId="TableBlockOutdent">
    <w:name w:val="Table BlockOutdent"/>
    <w:basedOn w:val="TableBlock"/>
    <w:rsid w:val="00390A85"/>
    <w:pPr>
      <w:ind w:left="624" w:hanging="624"/>
    </w:pPr>
  </w:style>
  <w:style w:type="paragraph" w:styleId="a7">
    <w:name w:val="header"/>
    <w:basedOn w:val="a"/>
    <w:rsid w:val="00390A85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90A85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390A85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390A85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390A85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big-number">
    <w:name w:val="big-number"/>
    <w:basedOn w:val="a0"/>
    <w:rsid w:val="002E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A85C1C-F7B6-454E-A351-6C27AE627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D4DEF-183C-4483-9B3F-E76519B5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524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חנה קרליץ</cp:lastModifiedBy>
  <cp:revision>23</cp:revision>
  <cp:lastPrinted>2018-01-10T09:48:00Z</cp:lastPrinted>
  <dcterms:created xsi:type="dcterms:W3CDTF">2015-04-20T09:58:00Z</dcterms:created>
  <dcterms:modified xsi:type="dcterms:W3CDTF">2018-01-10T09:50:00Z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2025170</vt:r8>
  </property>
</Properties>
</file>