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2063432</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7F5A9F">
      <w:pPr>
        <w:spacing w:line="276" w:lineRule="auto"/>
        <w:ind w:firstLine="0"/>
        <w:rPr>
          <w:rFonts w:cs="David"/>
          <w:b/>
          <w:bCs/>
          <w:sz w:val="26"/>
          <w:szCs w:val="26"/>
          <w:rtl/>
        </w:rPr>
      </w:pPr>
    </w:p>
    <w:p w14:paraId="7F6961A6" w14:textId="77777777" w:rsidR="00E13C27" w:rsidRDefault="008F6665" w:rsidP="007F5A9F">
      <w:pPr>
        <w:pStyle w:val="David"/>
        <w:spacing w:line="276"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יואל חסון</w:t>
      </w:r>
      <w:r>
        <w:br/>
      </w:r>
      <w:r>
        <w:rPr>
          <w:rFonts w:hint="cs"/>
          <w:b/>
          <w:bCs/>
          <w:rtl/>
        </w:rPr>
        <w:t xml:space="preserve"> </w:t>
      </w:r>
      <w:r>
        <w:tab/>
      </w:r>
      <w:r>
        <w:tab/>
      </w:r>
      <w:r>
        <w:tab/>
      </w:r>
      <w:r>
        <w:tab/>
      </w:r>
      <w:r>
        <w:rPr>
          <w:rFonts w:hint="cs"/>
          <w:b/>
          <w:bCs/>
          <w:rtl/>
        </w:rPr>
        <w:t>ציפי לבני</w:t>
      </w:r>
      <w:r>
        <w:br/>
      </w:r>
      <w:r>
        <w:rPr>
          <w:rFonts w:hint="cs"/>
          <w:b/>
          <w:bCs/>
          <w:rtl/>
        </w:rPr>
        <w:t xml:space="preserve"> </w:t>
      </w:r>
      <w:r>
        <w:tab/>
      </w:r>
      <w:r>
        <w:tab/>
      </w:r>
      <w:r>
        <w:tab/>
      </w:r>
      <w:r>
        <w:tab/>
      </w:r>
      <w:r>
        <w:rPr>
          <w:rFonts w:hint="cs"/>
          <w:b/>
          <w:bCs/>
          <w:rtl/>
        </w:rPr>
        <w:t>יחיאל חיליק בר</w:t>
      </w:r>
      <w:r>
        <w:br/>
      </w:r>
      <w:r>
        <w:rPr>
          <w:rFonts w:hint="cs"/>
          <w:b/>
          <w:bCs/>
          <w:rtl/>
        </w:rPr>
        <w:t xml:space="preserve"> </w:t>
      </w:r>
      <w:r>
        <w:tab/>
      </w:r>
      <w:r>
        <w:tab/>
      </w:r>
      <w:r>
        <w:tab/>
      </w:r>
      <w:r>
        <w:tab/>
      </w:r>
      <w:r>
        <w:rPr>
          <w:rFonts w:hint="cs"/>
          <w:b/>
          <w:bCs/>
          <w:rtl/>
        </w:rPr>
        <w:t>עמר בר-לב</w:t>
      </w:r>
      <w:r>
        <w:br/>
      </w:r>
      <w:r>
        <w:rPr>
          <w:rFonts w:hint="cs"/>
          <w:b/>
          <w:bCs/>
          <w:rtl/>
        </w:rPr>
        <w:t xml:space="preserve"> </w:t>
      </w:r>
      <w:r>
        <w:tab/>
      </w:r>
      <w:r>
        <w:tab/>
      </w:r>
      <w:r>
        <w:tab/>
      </w:r>
      <w:r>
        <w:tab/>
      </w:r>
      <w:r>
        <w:rPr>
          <w:rFonts w:hint="cs"/>
          <w:b/>
          <w:bCs/>
          <w:rtl/>
        </w:rPr>
        <w:t>רויטל סויד</w:t>
      </w:r>
      <w:r>
        <w:br/>
      </w:r>
      <w:r>
        <w:rPr>
          <w:rFonts w:hint="cs"/>
          <w:b/>
          <w:bCs/>
          <w:rtl/>
        </w:rPr>
        <w:t xml:space="preserve"> </w:t>
      </w:r>
      <w:r>
        <w:tab/>
      </w:r>
      <w:r>
        <w:tab/>
      </w:r>
      <w:r>
        <w:tab/>
      </w:r>
      <w:r>
        <w:tab/>
      </w:r>
      <w:r>
        <w:rPr>
          <w:rFonts w:hint="cs"/>
          <w:b/>
          <w:bCs/>
          <w:rtl/>
        </w:rPr>
        <w:t>איילת נחמיאס ורבין</w:t>
      </w:r>
      <w:r>
        <w:br/>
      </w:r>
      <w:r>
        <w:rPr>
          <w:rFonts w:hint="cs"/>
          <w:b/>
          <w:bCs/>
          <w:rtl/>
        </w:rPr>
        <w:t xml:space="preserve"> </w:t>
      </w:r>
      <w:r>
        <w:tab/>
      </w:r>
      <w:r>
        <w:tab/>
      </w:r>
      <w:r>
        <w:tab/>
      </w:r>
      <w:r>
        <w:tab/>
      </w:r>
      <w:r>
        <w:rPr>
          <w:rFonts w:hint="cs"/>
          <w:b/>
          <w:bCs/>
          <w:rtl/>
        </w:rPr>
        <w:t>מיכל בירן</w:t>
      </w:r>
      <w:r>
        <w:br/>
      </w:r>
      <w:r>
        <w:rPr>
          <w:rFonts w:hint="cs"/>
          <w:b/>
          <w:bCs/>
          <w:rtl/>
        </w:rPr>
        <w:t xml:space="preserve"> </w:t>
      </w:r>
      <w:r>
        <w:tab/>
      </w:r>
      <w:r>
        <w:tab/>
      </w:r>
      <w:r>
        <w:tab/>
      </w:r>
      <w:r>
        <w:tab/>
      </w:r>
      <w:r>
        <w:rPr>
          <w:rFonts w:hint="cs"/>
          <w:b/>
          <w:bCs/>
          <w:rtl/>
        </w:rPr>
        <w:t>יעל כהן-פארן</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סאלח סעד</w:t>
      </w:r>
      <w:r>
        <w:br/>
      </w:r>
      <w:r>
        <w:rPr>
          <w:rFonts w:hint="cs"/>
          <w:b/>
          <w:bCs/>
          <w:rtl/>
        </w:rPr>
        <w:t xml:space="preserve"> </w:t>
      </w:r>
      <w:r>
        <w:tab/>
      </w:r>
      <w:r>
        <w:tab/>
      </w:r>
      <w:r>
        <w:tab/>
      </w:r>
      <w:r>
        <w:tab/>
      </w:r>
      <w:r>
        <w:rPr>
          <w:rFonts w:hint="cs"/>
          <w:b/>
          <w:bCs/>
          <w:rtl/>
        </w:rPr>
        <w:t>לאה פדידה</w:t>
      </w:r>
      <w:r>
        <w:br/>
      </w:r>
      <w:r>
        <w:rPr>
          <w:rFonts w:hint="cs"/>
          <w:b/>
          <w:bCs/>
          <w:rtl/>
        </w:rPr>
        <w:t xml:space="preserve"> </w:t>
      </w:r>
      <w:r>
        <w:tab/>
      </w:r>
      <w:r>
        <w:tab/>
      </w:r>
      <w:r>
        <w:tab/>
      </w:r>
      <w:r>
        <w:tab/>
      </w:r>
      <w:r>
        <w:rPr>
          <w:rFonts w:hint="cs"/>
          <w:b/>
          <w:bCs/>
          <w:rtl/>
        </w:rPr>
        <w:t>מיקי לוי</w:t>
      </w:r>
      <w:r>
        <w:br/>
      </w:r>
      <w:r>
        <w:rPr>
          <w:rFonts w:hint="cs"/>
          <w:b/>
          <w:bCs/>
          <w:rtl/>
        </w:rPr>
        <w:t xml:space="preserve"> </w:t>
      </w:r>
      <w:r>
        <w:tab/>
      </w:r>
      <w:r>
        <w:tab/>
      </w:r>
      <w:r>
        <w:tab/>
      </w:r>
      <w:r>
        <w:tab/>
      </w:r>
      <w:r>
        <w:rPr>
          <w:rFonts w:hint="cs"/>
          <w:b/>
          <w:bCs/>
          <w:rtl/>
        </w:rPr>
        <w:t>תמר זנדברג</w:t>
      </w:r>
      <w:r>
        <w:br/>
      </w:r>
      <w:r>
        <w:rPr>
          <w:rFonts w:hint="cs"/>
          <w:b/>
          <w:bCs/>
          <w:rtl/>
        </w:rPr>
        <w:t xml:space="preserve"> </w:t>
      </w:r>
      <w:r>
        <w:tab/>
      </w:r>
      <w:r>
        <w:tab/>
      </w:r>
      <w:r>
        <w:tab/>
      </w:r>
      <w:r>
        <w:tab/>
      </w:r>
      <w:r>
        <w:rPr>
          <w:rFonts w:hint="cs"/>
          <w:b/>
          <w:bCs/>
          <w:rtl/>
        </w:rPr>
        <w:t>מוסי רז</w:t>
      </w:r>
      <w:r>
        <w:br/>
      </w:r>
      <w:r>
        <w:rPr>
          <w:rFonts w:hint="cs"/>
          <w:b/>
          <w:bCs/>
          <w:rtl/>
        </w:rPr>
        <w:t xml:space="preserve"> </w:t>
      </w:r>
      <w:r>
        <w:tab/>
      </w:r>
      <w:r>
        <w:tab/>
      </w:r>
      <w:r>
        <w:tab/>
      </w:r>
      <w:r>
        <w:tab/>
      </w:r>
      <w:r>
        <w:rPr>
          <w:rFonts w:hint="cs"/>
          <w:b/>
          <w:bCs/>
          <w:rtl/>
        </w:rPr>
        <w:t>חיים ילין</w:t>
      </w:r>
      <w:r>
        <w:br/>
      </w:r>
      <w:r>
        <w:rPr>
          <w:rFonts w:hint="cs"/>
          <w:b/>
          <w:bCs/>
          <w:rtl/>
        </w:rPr>
        <w:t xml:space="preserve"> </w:t>
      </w:r>
      <w:r>
        <w:tab/>
      </w:r>
      <w:r>
        <w:tab/>
      </w:r>
      <w:r>
        <w:tab/>
      </w:r>
      <w:r>
        <w:tab/>
      </w:r>
      <w:r>
        <w:rPr>
          <w:rFonts w:hint="cs"/>
          <w:b/>
          <w:bCs/>
          <w:rtl/>
        </w:rPr>
        <w:t>יעל גרמן</w:t>
      </w:r>
      <w:r>
        <w:br/>
      </w:r>
      <w:r>
        <w:rPr>
          <w:rFonts w:hint="cs"/>
          <w:b/>
          <w:bCs/>
          <w:rtl/>
        </w:rPr>
        <w:t xml:space="preserve"> </w:t>
      </w:r>
      <w:r>
        <w:tab/>
      </w:r>
      <w:r>
        <w:tab/>
      </w:r>
      <w:r>
        <w:tab/>
      </w:r>
      <w:r>
        <w:tab/>
      </w:r>
      <w:r>
        <w:rPr>
          <w:rFonts w:hint="cs"/>
          <w:b/>
          <w:bCs/>
          <w:rtl/>
        </w:rPr>
        <w:t>אילן גילאון</w:t>
      </w:r>
      <w:r>
        <w:br/>
      </w:r>
      <w:r>
        <w:rPr>
          <w:rFonts w:hint="cs"/>
          <w:b/>
          <w:bCs/>
          <w:rtl/>
        </w:rPr>
        <w:t xml:space="preserve"> </w:t>
      </w:r>
      <w:r>
        <w:tab/>
      </w:r>
      <w:r>
        <w:tab/>
      </w:r>
      <w:r>
        <w:tab/>
      </w:r>
      <w:r>
        <w:tab/>
      </w:r>
      <w:r>
        <w:rPr>
          <w:rFonts w:hint="cs"/>
          <w:b/>
          <w:bCs/>
          <w:rtl/>
        </w:rPr>
        <w:t>שלי יחימוביץ'</w:t>
      </w:r>
      <w:r>
        <w:br/>
      </w:r>
      <w:r>
        <w:rPr>
          <w:rFonts w:hint="cs"/>
          <w:b/>
          <w:bCs/>
          <w:rtl/>
        </w:rPr>
        <w:t xml:space="preserve"> </w:t>
      </w:r>
      <w:r>
        <w:tab/>
      </w:r>
      <w:r>
        <w:tab/>
      </w:r>
      <w:r>
        <w:tab/>
      </w:r>
      <w:r>
        <w:tab/>
      </w:r>
      <w:r>
        <w:rPr>
          <w:rFonts w:hint="cs"/>
          <w:b/>
          <w:bCs/>
          <w:rtl/>
        </w:rPr>
        <w:t>סתיו שפיר</w:t>
      </w:r>
      <w:r>
        <w:br/>
      </w:r>
      <w:r>
        <w:rPr>
          <w:rFonts w:hint="cs"/>
          <w:b/>
          <w:bCs/>
          <w:rtl/>
        </w:rPr>
        <w:t xml:space="preserve"> </w:t>
      </w:r>
      <w:r>
        <w:tab/>
      </w:r>
      <w:r>
        <w:tab/>
      </w:r>
      <w:r>
        <w:tab/>
      </w:r>
      <w:r>
        <w:tab/>
      </w:r>
      <w:r>
        <w:rPr>
          <w:rFonts w:hint="cs"/>
          <w:b/>
          <w:bCs/>
          <w:rtl/>
        </w:rPr>
        <w:t>איל בן ראובן</w:t>
      </w:r>
      <w:r>
        <w:br/>
      </w:r>
      <w:r>
        <w:rPr>
          <w:rFonts w:hint="cs"/>
          <w:b/>
          <w:bCs/>
          <w:rtl/>
        </w:rPr>
        <w:t xml:space="preserve"> </w:t>
      </w:r>
      <w:r>
        <w:tab/>
      </w:r>
      <w:r>
        <w:tab/>
      </w:r>
      <w:r>
        <w:tab/>
      </w:r>
      <w:r>
        <w:tab/>
      </w:r>
      <w:r>
        <w:rPr>
          <w:rFonts w:hint="cs"/>
          <w:b/>
          <w:bCs/>
          <w:rtl/>
        </w:rPr>
        <w:t>איתן כבל</w:t>
      </w:r>
      <w:r>
        <w:br/>
      </w:r>
      <w:r>
        <w:rPr>
          <w:rFonts w:hint="cs"/>
          <w:b/>
          <w:bCs/>
          <w:rtl/>
        </w:rPr>
        <w:t xml:space="preserve"> </w:t>
      </w:r>
      <w:r>
        <w:tab/>
      </w:r>
      <w:r>
        <w:tab/>
      </w:r>
      <w:r>
        <w:tab/>
      </w:r>
      <w:r>
        <w:tab/>
      </w:r>
      <w:r>
        <w:rPr>
          <w:rFonts w:hint="cs"/>
          <w:b/>
          <w:bCs/>
          <w:rtl/>
        </w:rPr>
        <w:t>מיכל רוזין</w:t>
      </w:r>
      <w:r>
        <w:br/>
      </w:r>
      <w:r>
        <w:rPr>
          <w:rFonts w:hint="cs"/>
          <w:b/>
          <w:bCs/>
          <w:rtl/>
        </w:rPr>
        <w:t xml:space="preserve"> </w:t>
      </w:r>
      <w:r>
        <w:tab/>
      </w:r>
      <w:r>
        <w:tab/>
      </w:r>
      <w:r>
        <w:tab/>
      </w:r>
      <w:r>
        <w:tab/>
      </w:r>
      <w:r>
        <w:rPr>
          <w:rFonts w:hint="cs"/>
          <w:b/>
          <w:bCs/>
          <w:rtl/>
        </w:rPr>
        <w:t>דב חנין</w:t>
      </w:r>
      <w:r>
        <w:br/>
      </w:r>
      <w:r>
        <w:rPr>
          <w:rFonts w:hint="cs"/>
          <w:b/>
          <w:bCs/>
          <w:rtl/>
        </w:rPr>
        <w:t xml:space="preserve"> </w:t>
      </w:r>
      <w:r>
        <w:tab/>
      </w:r>
      <w:r>
        <w:tab/>
      </w:r>
      <w:r>
        <w:tab/>
      </w:r>
      <w:r>
        <w:tab/>
      </w:r>
      <w:r>
        <w:rPr>
          <w:rFonts w:hint="cs"/>
          <w:b/>
          <w:bCs/>
          <w:rtl/>
        </w:rPr>
        <w:t>יוסף ג'בארין</w:t>
      </w:r>
      <w:r>
        <w:br/>
      </w:r>
      <w:r>
        <w:rPr>
          <w:rFonts w:hint="cs"/>
          <w:b/>
          <w:bCs/>
          <w:rtl/>
        </w:rPr>
        <w:t xml:space="preserve"> </w:t>
      </w:r>
      <w:r>
        <w:tab/>
      </w:r>
      <w:r>
        <w:tab/>
      </w:r>
      <w:r>
        <w:tab/>
      </w:r>
      <w:r>
        <w:tab/>
      </w:r>
      <w:r>
        <w:rPr>
          <w:rFonts w:hint="cs"/>
          <w:b/>
          <w:bCs/>
          <w:rtl/>
        </w:rPr>
        <w:t>קסניה סבטלובה</w:t>
      </w:r>
      <w:r>
        <w:br/>
      </w:r>
      <w:r>
        <w:rPr>
          <w:rFonts w:hint="cs"/>
          <w:b/>
          <w:bCs/>
          <w:rtl/>
        </w:rPr>
        <w:t xml:space="preserve"> </w:t>
      </w:r>
      <w:r>
        <w:tab/>
      </w:r>
      <w:r>
        <w:tab/>
      </w:r>
      <w:r>
        <w:tab/>
      </w:r>
      <w:r>
        <w:tab/>
      </w:r>
      <w:r>
        <w:rPr>
          <w:rFonts w:hint="cs"/>
          <w:b/>
          <w:bCs/>
          <w:rtl/>
        </w:rPr>
        <w:t>עבד אל חכים חאג' יחיא</w:t>
      </w:r>
      <w:r>
        <w:br/>
      </w:r>
      <w:r>
        <w:rPr>
          <w:rFonts w:hint="cs"/>
          <w:b/>
          <w:bCs/>
          <w:rtl/>
        </w:rPr>
        <w:t xml:space="preserve"> </w:t>
      </w:r>
      <w:r>
        <w:tab/>
      </w:r>
      <w:r>
        <w:tab/>
      </w:r>
      <w:r>
        <w:tab/>
      </w:r>
      <w:r>
        <w:tab/>
      </w:r>
      <w:r>
        <w:rPr>
          <w:rFonts w:hint="cs"/>
          <w:b/>
          <w:bCs/>
          <w:rtl/>
        </w:rPr>
        <w:t>אחמד טיבי</w:t>
      </w:r>
      <w:r>
        <w:br/>
      </w:r>
      <w:r>
        <w:rPr>
          <w:rFonts w:hint="cs"/>
          <w:b/>
          <w:bCs/>
          <w:rtl/>
        </w:rPr>
        <w:t xml:space="preserve"> </w:t>
      </w:r>
      <w:r>
        <w:tab/>
      </w:r>
      <w:r>
        <w:tab/>
      </w:r>
      <w:r>
        <w:tab/>
      </w:r>
      <w:r>
        <w:tab/>
      </w:r>
      <w:r>
        <w:rPr>
          <w:rFonts w:hint="cs"/>
          <w:b/>
          <w:bCs/>
          <w:rtl/>
        </w:rPr>
        <w:t>מרב מיכאלי</w:t>
      </w:r>
      <w:r>
        <w:br/>
      </w:r>
      <w:r>
        <w:rPr>
          <w:rFonts w:hint="cs"/>
          <w:b/>
          <w:bCs/>
          <w:rtl/>
        </w:rPr>
        <w:t xml:space="preserve"> </w:t>
      </w:r>
      <w:r>
        <w:tab/>
      </w:r>
      <w:r>
        <w:tab/>
      </w:r>
      <w:r>
        <w:tab/>
      </w:r>
      <w:r>
        <w:tab/>
      </w:r>
      <w:r>
        <w:rPr>
          <w:rFonts w:hint="cs"/>
          <w:b/>
          <w:bCs/>
          <w:rtl/>
        </w:rPr>
        <w:t>קארין אלהרר</w:t>
      </w:r>
      <w:bookmarkEnd w:id="3"/>
    </w:p>
    <w:p w14:paraId="34DB4103" w14:textId="3F0B75DB" w:rsidR="00904591" w:rsidRPr="00904591" w:rsidRDefault="00266D86" w:rsidP="007F5A9F">
      <w:pPr>
        <w:pStyle w:val="David"/>
        <w:spacing w:before="0" w:line="360" w:lineRule="auto"/>
        <w:ind w:left="3544"/>
        <w:rPr>
          <w:sz w:val="4"/>
          <w:szCs w:val="4"/>
          <w:rtl/>
        </w:rPr>
      </w:pPr>
      <w:r>
        <w:t>____</w:t>
      </w:r>
      <w:r w:rsidR="00E374F2">
        <w:t>__</w:t>
      </w:r>
      <w:r>
        <w:t>________</w:t>
      </w:r>
      <w:r w:rsidR="007F5A9F">
        <w:t>______________________________</w:t>
      </w:r>
      <w:r w:rsidR="00904591">
        <w:t xml:space="preserve"> </w:t>
      </w:r>
    </w:p>
    <w:p w14:paraId="7F6961AC" w14:textId="5FDF18BA" w:rsidR="00E13C27" w:rsidRDefault="00904591" w:rsidP="00BE64E3">
      <w:pPr>
        <w:pStyle w:val="David"/>
        <w:spacing w:before="0" w:line="240" w:lineRule="auto"/>
        <w:ind w:left="3544"/>
        <w:rPr>
          <w:rtl/>
        </w:rPr>
      </w:pPr>
      <w:r>
        <w:t xml:space="preserve">                                            </w:t>
      </w:r>
      <w:r w:rsidR="008F1308">
        <w:t xml:space="preserve"> </w:t>
      </w:r>
      <w:bookmarkStart w:id="4" w:name="Private_Number"/>
      <w:r>
        <w:rPr>
          <w:rFonts w:hint="cs"/>
          <w:rtl/>
        </w:rPr>
        <w:t>פ/5013/20</w:t>
      </w:r>
      <w:bookmarkEnd w:id="4"/>
    </w:p>
    <w:p w14:paraId="7F6961AD" w14:textId="016FD4DA" w:rsidR="00E13C27" w:rsidRPr="00F67051" w:rsidRDefault="00A443CF" w:rsidP="0021633A">
      <w:pPr>
        <w:pStyle w:val="HeadHatzaotHok"/>
        <w:rPr>
          <w:rtl/>
        </w:rPr>
      </w:pPr>
      <w:bookmarkStart w:id="5" w:name="LGS_Subject"/>
      <w:r>
        <w:rPr>
          <w:rFonts w:hint="cs"/>
          <w:rtl/>
        </w:rPr>
        <w:t>הצעת חוק סדר הדין הפלילי (תיקון – ביטול האיסור המוטל על המשטרה למסור לפרקליטות עמדה בכתב לעניין מכלול התשתית הראייתית), התשע"ח–2018</w:t>
      </w:r>
      <w:bookmarkEnd w:id="5"/>
    </w:p>
    <w:tbl>
      <w:tblPr>
        <w:bidiVisual/>
        <w:tblW w:w="9639" w:type="dxa"/>
        <w:tblLayout w:type="fixed"/>
        <w:tblCellMar>
          <w:top w:w="57" w:type="dxa"/>
          <w:left w:w="0" w:type="dxa"/>
          <w:bottom w:w="57" w:type="dxa"/>
          <w:right w:w="0" w:type="dxa"/>
        </w:tblCellMar>
        <w:tblLook w:val="01E0" w:firstRow="1" w:lastRow="1" w:firstColumn="1" w:lastColumn="1" w:noHBand="0" w:noVBand="0"/>
      </w:tblPr>
      <w:tblGrid>
        <w:gridCol w:w="1842"/>
        <w:gridCol w:w="653"/>
        <w:gridCol w:w="7144"/>
      </w:tblGrid>
      <w:tr w:rsidR="00BE64E3" w:rsidRPr="001E7121" w14:paraId="15EDD2BC" w14:textId="77777777" w:rsidTr="00736F84">
        <w:trPr>
          <w:cantSplit/>
        </w:trPr>
        <w:tc>
          <w:tcPr>
            <w:tcW w:w="1842" w:type="dxa"/>
          </w:tcPr>
          <w:p w14:paraId="30709EC3" w14:textId="70393BDA" w:rsidR="00BE64E3" w:rsidRPr="001E7121" w:rsidRDefault="00AF684A" w:rsidP="00736F84">
            <w:pPr>
              <w:pStyle w:val="TableSideHeading"/>
              <w:ind w:right="0"/>
              <w:rPr>
                <w:sz w:val="26"/>
                <w:rtl/>
              </w:rPr>
            </w:pPr>
            <w:r>
              <w:rPr>
                <w:rFonts w:hint="cs"/>
                <w:sz w:val="26"/>
                <w:rtl/>
              </w:rPr>
              <w:t>תיקון סעיף 60</w:t>
            </w:r>
          </w:p>
        </w:tc>
        <w:tc>
          <w:tcPr>
            <w:tcW w:w="653" w:type="dxa"/>
          </w:tcPr>
          <w:p w14:paraId="6B876CEA" w14:textId="77777777" w:rsidR="00BE64E3" w:rsidRPr="001E7121" w:rsidRDefault="00BE64E3" w:rsidP="00736F84">
            <w:pPr>
              <w:pStyle w:val="TableText"/>
              <w:rPr>
                <w:sz w:val="26"/>
              </w:rPr>
            </w:pPr>
            <w:r w:rsidRPr="001E7121">
              <w:rPr>
                <w:rFonts w:hint="cs"/>
                <w:sz w:val="26"/>
                <w:rtl/>
              </w:rPr>
              <w:t>1.</w:t>
            </w:r>
          </w:p>
        </w:tc>
        <w:tc>
          <w:tcPr>
            <w:tcW w:w="7144" w:type="dxa"/>
          </w:tcPr>
          <w:p w14:paraId="456A3130" w14:textId="0C482D48" w:rsidR="00BE64E3" w:rsidRPr="001E7121" w:rsidRDefault="00BE64E3" w:rsidP="007C53A8">
            <w:pPr>
              <w:pStyle w:val="TableBlock"/>
              <w:rPr>
                <w:sz w:val="26"/>
              </w:rPr>
            </w:pPr>
            <w:r>
              <w:rPr>
                <w:rFonts w:ascii="David" w:hAnsi="Times New Roman" w:hint="cs"/>
                <w:color w:val="auto"/>
                <w:sz w:val="26"/>
                <w:rtl/>
                <w:lang w:eastAsia="en-US"/>
              </w:rPr>
              <w:t>בחוק</w:t>
            </w:r>
            <w:r>
              <w:rPr>
                <w:rFonts w:ascii="David" w:hAnsi="Times New Roman"/>
                <w:color w:val="auto"/>
                <w:sz w:val="26"/>
                <w:lang w:eastAsia="en-US"/>
              </w:rPr>
              <w:t xml:space="preserve"> </w:t>
            </w:r>
            <w:r>
              <w:rPr>
                <w:rFonts w:ascii="David" w:hAnsi="Times New Roman" w:hint="cs"/>
                <w:color w:val="auto"/>
                <w:sz w:val="26"/>
                <w:rtl/>
                <w:lang w:eastAsia="en-US"/>
              </w:rPr>
              <w:t>סדר</w:t>
            </w:r>
            <w:r>
              <w:rPr>
                <w:rFonts w:ascii="David" w:hAnsi="Times New Roman"/>
                <w:color w:val="auto"/>
                <w:sz w:val="26"/>
                <w:lang w:eastAsia="en-US"/>
              </w:rPr>
              <w:t xml:space="preserve"> </w:t>
            </w:r>
            <w:r>
              <w:rPr>
                <w:rFonts w:ascii="David" w:hAnsi="Times New Roman" w:hint="cs"/>
                <w:color w:val="auto"/>
                <w:sz w:val="26"/>
                <w:rtl/>
                <w:lang w:eastAsia="en-US"/>
              </w:rPr>
              <w:t>הדין</w:t>
            </w:r>
            <w:r>
              <w:rPr>
                <w:rFonts w:ascii="David" w:hAnsi="Times New Roman"/>
                <w:color w:val="auto"/>
                <w:sz w:val="26"/>
                <w:lang w:eastAsia="en-US"/>
              </w:rPr>
              <w:t xml:space="preserve"> </w:t>
            </w:r>
            <w:r>
              <w:rPr>
                <w:rFonts w:ascii="David" w:hAnsi="Times New Roman" w:hint="cs"/>
                <w:color w:val="auto"/>
                <w:sz w:val="26"/>
                <w:rtl/>
                <w:lang w:eastAsia="en-US"/>
              </w:rPr>
              <w:t xml:space="preserve">הפלילי </w:t>
            </w:r>
            <w:r>
              <w:rPr>
                <w:rFonts w:ascii="David" w:hAnsi="Times New Roman"/>
                <w:color w:val="auto"/>
                <w:sz w:val="26"/>
                <w:lang w:eastAsia="en-US"/>
              </w:rPr>
              <w:t>]</w:t>
            </w:r>
            <w:r>
              <w:rPr>
                <w:rFonts w:ascii="David" w:hAnsi="Times New Roman" w:hint="cs"/>
                <w:color w:val="auto"/>
                <w:sz w:val="26"/>
                <w:rtl/>
                <w:lang w:eastAsia="en-US"/>
              </w:rPr>
              <w:t>נוסח</w:t>
            </w:r>
            <w:r>
              <w:rPr>
                <w:rFonts w:ascii="David" w:hAnsi="Times New Roman"/>
                <w:color w:val="auto"/>
                <w:sz w:val="26"/>
                <w:lang w:eastAsia="en-US"/>
              </w:rPr>
              <w:t xml:space="preserve"> </w:t>
            </w:r>
            <w:r>
              <w:rPr>
                <w:rFonts w:ascii="David" w:hAnsi="Times New Roman" w:hint="cs"/>
                <w:color w:val="auto"/>
                <w:sz w:val="26"/>
                <w:rtl/>
                <w:lang w:eastAsia="en-US"/>
              </w:rPr>
              <w:t>משולב],</w:t>
            </w:r>
            <w:r>
              <w:rPr>
                <w:rFonts w:ascii="David" w:hAnsi="Times New Roman"/>
                <w:color w:val="auto"/>
                <w:sz w:val="26"/>
                <w:lang w:eastAsia="en-US"/>
              </w:rPr>
              <w:t xml:space="preserve"> </w:t>
            </w:r>
            <w:r>
              <w:rPr>
                <w:rFonts w:ascii="David" w:hAnsi="Times New Roman" w:hint="cs"/>
                <w:color w:val="auto"/>
                <w:sz w:val="26"/>
                <w:rtl/>
                <w:lang w:eastAsia="en-US"/>
              </w:rPr>
              <w:t>התשמ</w:t>
            </w:r>
            <w:r>
              <w:rPr>
                <w:rFonts w:ascii="David" w:hAnsi="Times New Roman"/>
                <w:color w:val="auto"/>
                <w:sz w:val="26"/>
                <w:lang w:eastAsia="en-US"/>
              </w:rPr>
              <w:t>"</w:t>
            </w:r>
            <w:r>
              <w:rPr>
                <w:rFonts w:ascii="David" w:hAnsi="Times New Roman" w:hint="cs"/>
                <w:color w:val="auto"/>
                <w:sz w:val="26"/>
                <w:rtl/>
                <w:lang w:eastAsia="en-US"/>
              </w:rPr>
              <w:t>ב</w:t>
            </w:r>
            <w:r w:rsidR="00334988">
              <w:rPr>
                <w:rFonts w:ascii="David" w:hAnsi="Times New Roman" w:hint="eastAsia"/>
                <w:color w:val="auto"/>
                <w:sz w:val="26"/>
                <w:rtl/>
                <w:lang w:eastAsia="en-US"/>
              </w:rPr>
              <w:t>–</w:t>
            </w:r>
            <w:r w:rsidR="00334988">
              <w:rPr>
                <w:rFonts w:ascii="David" w:hAnsi="Times New Roman" w:hint="cs"/>
                <w:color w:val="auto"/>
                <w:sz w:val="26"/>
                <w:rtl/>
                <w:lang w:eastAsia="en-US"/>
              </w:rPr>
              <w:t>1982</w:t>
            </w:r>
            <w:r>
              <w:rPr>
                <w:rStyle w:val="a6"/>
                <w:sz w:val="26"/>
                <w:rtl/>
              </w:rPr>
              <w:footnoteReference w:id="2"/>
            </w:r>
            <w:r>
              <w:rPr>
                <w:rFonts w:hint="cs"/>
                <w:sz w:val="26"/>
                <w:rtl/>
              </w:rPr>
              <w:t xml:space="preserve"> (להלן </w:t>
            </w:r>
            <w:r>
              <w:rPr>
                <w:sz w:val="26"/>
                <w:rtl/>
              </w:rPr>
              <w:t>–</w:t>
            </w:r>
            <w:r>
              <w:rPr>
                <w:rFonts w:hint="cs"/>
                <w:sz w:val="26"/>
                <w:rtl/>
              </w:rPr>
              <w:t xml:space="preserve"> החוק העיקרי), בסעיף </w:t>
            </w:r>
            <w:r w:rsidRPr="004B55B9">
              <w:rPr>
                <w:rFonts w:hint="cs"/>
                <w:sz w:val="26"/>
                <w:rtl/>
              </w:rPr>
              <w:t>60</w:t>
            </w:r>
            <w:r w:rsidR="00334988" w:rsidRPr="004B55B9">
              <w:rPr>
                <w:rFonts w:hint="cs"/>
                <w:sz w:val="26"/>
                <w:rtl/>
              </w:rPr>
              <w:t>(</w:t>
            </w:r>
            <w:r w:rsidR="00334988" w:rsidRPr="00D35EE9">
              <w:rPr>
                <w:rFonts w:hint="eastAsia"/>
                <w:sz w:val="26"/>
                <w:rtl/>
              </w:rPr>
              <w:t>יא</w:t>
            </w:r>
            <w:r w:rsidR="00334988" w:rsidRPr="00D35EE9">
              <w:rPr>
                <w:sz w:val="26"/>
                <w:rtl/>
              </w:rPr>
              <w:t>)</w:t>
            </w:r>
            <w:r w:rsidR="009D015E">
              <w:rPr>
                <w:rFonts w:hint="cs"/>
                <w:sz w:val="26"/>
                <w:rtl/>
              </w:rPr>
              <w:t xml:space="preserve"> </w:t>
            </w:r>
            <w:r w:rsidR="007C53A8">
              <w:rPr>
                <w:rFonts w:hint="eastAsia"/>
                <w:sz w:val="26"/>
                <w:rtl/>
              </w:rPr>
              <w:t>–</w:t>
            </w:r>
            <w:r w:rsidR="009D015E">
              <w:rPr>
                <w:rFonts w:hint="cs"/>
                <w:sz w:val="26"/>
                <w:rtl/>
              </w:rPr>
              <w:t xml:space="preserve"> </w:t>
            </w:r>
            <w:r w:rsidR="00334988">
              <w:rPr>
                <w:rFonts w:hint="cs"/>
                <w:sz w:val="26"/>
                <w:rtl/>
              </w:rPr>
              <w:t xml:space="preserve"> </w:t>
            </w:r>
          </w:p>
        </w:tc>
      </w:tr>
      <w:tr w:rsidR="009D015E" w:rsidRPr="001E7121" w14:paraId="61BF0BDB" w14:textId="77777777" w:rsidTr="00736F84">
        <w:trPr>
          <w:cantSplit/>
        </w:trPr>
        <w:tc>
          <w:tcPr>
            <w:tcW w:w="1842" w:type="dxa"/>
          </w:tcPr>
          <w:p w14:paraId="041BDFBD" w14:textId="77777777" w:rsidR="009D015E" w:rsidRDefault="009D015E" w:rsidP="00736F84">
            <w:pPr>
              <w:pStyle w:val="TableSideHeading"/>
              <w:ind w:right="0"/>
              <w:rPr>
                <w:sz w:val="26"/>
                <w:rtl/>
              </w:rPr>
            </w:pPr>
          </w:p>
        </w:tc>
        <w:tc>
          <w:tcPr>
            <w:tcW w:w="653" w:type="dxa"/>
          </w:tcPr>
          <w:p w14:paraId="3C630218" w14:textId="77777777" w:rsidR="009D015E" w:rsidRPr="001E7121" w:rsidRDefault="009D015E" w:rsidP="00736F84">
            <w:pPr>
              <w:pStyle w:val="TableText"/>
              <w:rPr>
                <w:sz w:val="26"/>
                <w:rtl/>
              </w:rPr>
            </w:pPr>
          </w:p>
        </w:tc>
        <w:tc>
          <w:tcPr>
            <w:tcW w:w="7144" w:type="dxa"/>
          </w:tcPr>
          <w:p w14:paraId="3D542FEA" w14:textId="3B6F8D25" w:rsidR="009D015E" w:rsidRDefault="009D015E" w:rsidP="009F1059">
            <w:pPr>
              <w:pStyle w:val="TableBlock"/>
              <w:rPr>
                <w:rFonts w:ascii="David" w:hAnsi="Times New Roman"/>
                <w:color w:val="auto"/>
                <w:sz w:val="26"/>
                <w:rtl/>
                <w:lang w:eastAsia="en-US"/>
              </w:rPr>
            </w:pPr>
            <w:r>
              <w:rPr>
                <w:rFonts w:ascii="David" w:hAnsi="Times New Roman" w:hint="cs"/>
                <w:color w:val="auto"/>
                <w:sz w:val="26"/>
                <w:rtl/>
                <w:lang w:eastAsia="en-US"/>
              </w:rPr>
              <w:t>(1)</w:t>
            </w:r>
            <w:r>
              <w:rPr>
                <w:rFonts w:ascii="David" w:hAnsi="Times New Roman"/>
                <w:color w:val="auto"/>
                <w:sz w:val="26"/>
                <w:rtl/>
                <w:lang w:eastAsia="en-US"/>
              </w:rPr>
              <w:tab/>
            </w:r>
            <w:r>
              <w:rPr>
                <w:rFonts w:hint="cs"/>
                <w:sz w:val="26"/>
                <w:rtl/>
              </w:rPr>
              <w:t xml:space="preserve">פסקאות (3) ו-(5) </w:t>
            </w:r>
            <w:r>
              <w:rPr>
                <w:sz w:val="26"/>
                <w:rtl/>
              </w:rPr>
              <w:t>–</w:t>
            </w:r>
            <w:r>
              <w:rPr>
                <w:rFonts w:hint="cs"/>
                <w:sz w:val="26"/>
                <w:rtl/>
              </w:rPr>
              <w:t xml:space="preserve"> י</w:t>
            </w:r>
            <w:r w:rsidR="007C53A8">
              <w:rPr>
                <w:rFonts w:hint="cs"/>
                <w:sz w:val="26"/>
                <w:rtl/>
              </w:rPr>
              <w:t>י</w:t>
            </w:r>
            <w:r>
              <w:rPr>
                <w:rFonts w:hint="cs"/>
                <w:sz w:val="26"/>
                <w:rtl/>
              </w:rPr>
              <w:t>מחקו;</w:t>
            </w:r>
          </w:p>
        </w:tc>
      </w:tr>
      <w:tr w:rsidR="009D015E" w:rsidRPr="001E7121" w14:paraId="22915992" w14:textId="77777777" w:rsidTr="00736F84">
        <w:trPr>
          <w:cantSplit/>
        </w:trPr>
        <w:tc>
          <w:tcPr>
            <w:tcW w:w="1842" w:type="dxa"/>
          </w:tcPr>
          <w:p w14:paraId="4F3FE42D" w14:textId="77777777" w:rsidR="009D015E" w:rsidRDefault="009D015E" w:rsidP="00736F84">
            <w:pPr>
              <w:pStyle w:val="TableSideHeading"/>
              <w:ind w:right="0"/>
              <w:rPr>
                <w:sz w:val="26"/>
                <w:rtl/>
              </w:rPr>
            </w:pPr>
          </w:p>
        </w:tc>
        <w:tc>
          <w:tcPr>
            <w:tcW w:w="653" w:type="dxa"/>
          </w:tcPr>
          <w:p w14:paraId="61217A92" w14:textId="77777777" w:rsidR="009D015E" w:rsidRPr="001E7121" w:rsidRDefault="009D015E" w:rsidP="00736F84">
            <w:pPr>
              <w:pStyle w:val="TableText"/>
              <w:rPr>
                <w:sz w:val="26"/>
                <w:rtl/>
              </w:rPr>
            </w:pPr>
          </w:p>
        </w:tc>
        <w:tc>
          <w:tcPr>
            <w:tcW w:w="7144" w:type="dxa"/>
          </w:tcPr>
          <w:p w14:paraId="5C682647" w14:textId="098E9390" w:rsidR="009D015E" w:rsidRDefault="009D015E" w:rsidP="009F1059">
            <w:pPr>
              <w:pStyle w:val="TableBlock"/>
              <w:rPr>
                <w:rFonts w:ascii="David" w:hAnsi="Times New Roman"/>
                <w:color w:val="auto"/>
                <w:sz w:val="26"/>
                <w:rtl/>
                <w:lang w:eastAsia="en-US"/>
              </w:rPr>
            </w:pPr>
            <w:r>
              <w:rPr>
                <w:rFonts w:ascii="David" w:hAnsi="Times New Roman" w:hint="cs"/>
                <w:color w:val="auto"/>
                <w:sz w:val="26"/>
                <w:rtl/>
                <w:lang w:eastAsia="en-US"/>
              </w:rPr>
              <w:t>(2)</w:t>
            </w:r>
            <w:r>
              <w:rPr>
                <w:rFonts w:ascii="David" w:hAnsi="Times New Roman"/>
                <w:color w:val="auto"/>
                <w:sz w:val="26"/>
                <w:rtl/>
                <w:lang w:eastAsia="en-US"/>
              </w:rPr>
              <w:tab/>
            </w:r>
            <w:r>
              <w:rPr>
                <w:rFonts w:ascii="David" w:hAnsi="Times New Roman" w:hint="cs"/>
                <w:color w:val="auto"/>
                <w:sz w:val="26"/>
                <w:rtl/>
                <w:lang w:eastAsia="en-US"/>
              </w:rPr>
              <w:t>בפסקה (4), במקום "ניהלה המשטרה חקירה ללא פרקליט מלווה וסברה" יבוא "סברה המשטרה".</w:t>
            </w:r>
          </w:p>
        </w:tc>
      </w:tr>
      <w:tr w:rsidR="00BE64E3" w:rsidRPr="001E7121" w14:paraId="2368305C" w14:textId="77777777" w:rsidTr="00736F84">
        <w:trPr>
          <w:cantSplit/>
        </w:trPr>
        <w:tc>
          <w:tcPr>
            <w:tcW w:w="1842" w:type="dxa"/>
          </w:tcPr>
          <w:p w14:paraId="5FBA3709" w14:textId="1FD0CF2D" w:rsidR="00BE64E3" w:rsidRPr="001E7121" w:rsidRDefault="00AF684A" w:rsidP="00736F84">
            <w:pPr>
              <w:pStyle w:val="TableSideHeading"/>
              <w:rPr>
                <w:sz w:val="26"/>
              </w:rPr>
            </w:pPr>
            <w:r>
              <w:rPr>
                <w:rFonts w:hint="cs"/>
                <w:sz w:val="26"/>
                <w:rtl/>
              </w:rPr>
              <w:t>תיקון סעיף 241</w:t>
            </w:r>
          </w:p>
        </w:tc>
        <w:tc>
          <w:tcPr>
            <w:tcW w:w="653" w:type="dxa"/>
          </w:tcPr>
          <w:p w14:paraId="05DE2BB7" w14:textId="77777777" w:rsidR="00BE64E3" w:rsidRPr="001E7121" w:rsidRDefault="00BE64E3" w:rsidP="00736F84">
            <w:pPr>
              <w:pStyle w:val="TableText"/>
              <w:rPr>
                <w:sz w:val="26"/>
              </w:rPr>
            </w:pPr>
            <w:r w:rsidRPr="001E7121">
              <w:rPr>
                <w:rFonts w:hint="cs"/>
                <w:sz w:val="26"/>
                <w:rtl/>
              </w:rPr>
              <w:t>2.</w:t>
            </w:r>
          </w:p>
        </w:tc>
        <w:tc>
          <w:tcPr>
            <w:tcW w:w="7144" w:type="dxa"/>
          </w:tcPr>
          <w:p w14:paraId="373FBDFC" w14:textId="0C451E64" w:rsidR="00BE64E3" w:rsidRPr="001E7121" w:rsidRDefault="00334988" w:rsidP="00736F84">
            <w:pPr>
              <w:pStyle w:val="TableBlock"/>
              <w:rPr>
                <w:sz w:val="26"/>
              </w:rPr>
            </w:pPr>
            <w:r>
              <w:rPr>
                <w:rFonts w:hint="cs"/>
                <w:sz w:val="26"/>
                <w:rtl/>
              </w:rPr>
              <w:t>בסעיף 241 ל</w:t>
            </w:r>
            <w:r w:rsidR="00BE64E3">
              <w:rPr>
                <w:rFonts w:hint="cs"/>
                <w:sz w:val="26"/>
                <w:rtl/>
              </w:rPr>
              <w:t xml:space="preserve">חוק העיקרי, סעיף קטן (ג) </w:t>
            </w:r>
            <w:r w:rsidR="00BE64E3">
              <w:rPr>
                <w:sz w:val="26"/>
                <w:rtl/>
              </w:rPr>
              <w:t>–</w:t>
            </w:r>
            <w:r w:rsidR="00BE64E3">
              <w:rPr>
                <w:rFonts w:hint="cs"/>
                <w:sz w:val="26"/>
                <w:rtl/>
              </w:rPr>
              <w:t xml:space="preserve"> בטל. </w:t>
            </w:r>
          </w:p>
        </w:tc>
      </w:tr>
      <w:tr w:rsidR="00BE64E3" w:rsidRPr="001E7121" w14:paraId="25F323FC" w14:textId="77777777" w:rsidTr="00736F84">
        <w:trPr>
          <w:cantSplit/>
        </w:trPr>
        <w:tc>
          <w:tcPr>
            <w:tcW w:w="1842" w:type="dxa"/>
          </w:tcPr>
          <w:p w14:paraId="6F13FBA8" w14:textId="63512E7A" w:rsidR="00BE64E3" w:rsidRPr="001E7121" w:rsidRDefault="009C0A59" w:rsidP="00736F84">
            <w:pPr>
              <w:pStyle w:val="TableSideHeading"/>
              <w:rPr>
                <w:sz w:val="26"/>
              </w:rPr>
            </w:pPr>
            <w:r>
              <w:rPr>
                <w:rFonts w:hint="cs"/>
                <w:sz w:val="26"/>
                <w:rtl/>
              </w:rPr>
              <w:t>תיקון חוק סדר הדין הפלילי (תיקון מס' 81)</w:t>
            </w:r>
          </w:p>
        </w:tc>
        <w:tc>
          <w:tcPr>
            <w:tcW w:w="653" w:type="dxa"/>
          </w:tcPr>
          <w:p w14:paraId="6CAA4BBF" w14:textId="77777777" w:rsidR="00BE64E3" w:rsidRPr="001E7121" w:rsidRDefault="00BE64E3" w:rsidP="00736F84">
            <w:pPr>
              <w:pStyle w:val="TableText"/>
              <w:rPr>
                <w:sz w:val="26"/>
                <w:rtl/>
              </w:rPr>
            </w:pPr>
            <w:r>
              <w:rPr>
                <w:rFonts w:hint="cs"/>
                <w:sz w:val="26"/>
                <w:rtl/>
              </w:rPr>
              <w:t>3.</w:t>
            </w:r>
          </w:p>
        </w:tc>
        <w:tc>
          <w:tcPr>
            <w:tcW w:w="7144" w:type="dxa"/>
          </w:tcPr>
          <w:p w14:paraId="5C28D7FE" w14:textId="6C013F73" w:rsidR="00BE64E3" w:rsidRDefault="007C53A8" w:rsidP="004B55B9">
            <w:pPr>
              <w:pStyle w:val="TableBlock"/>
              <w:rPr>
                <w:sz w:val="26"/>
                <w:rtl/>
              </w:rPr>
            </w:pPr>
            <w:r>
              <w:rPr>
                <w:rFonts w:hint="cs"/>
                <w:sz w:val="26"/>
                <w:rtl/>
              </w:rPr>
              <w:t>ב</w:t>
            </w:r>
            <w:r w:rsidR="00BE64E3">
              <w:rPr>
                <w:rFonts w:hint="cs"/>
                <w:sz w:val="26"/>
                <w:rtl/>
              </w:rPr>
              <w:t>חוק סדר הדין הפלילי (תיקון מס' 81), התשע"ח</w:t>
            </w:r>
            <w:r w:rsidR="00D35EE9">
              <w:rPr>
                <w:rFonts w:hint="eastAsia"/>
                <w:sz w:val="26"/>
                <w:rtl/>
              </w:rPr>
              <w:t>–</w:t>
            </w:r>
            <w:r w:rsidR="009C0A59">
              <w:rPr>
                <w:rFonts w:hint="cs"/>
                <w:sz w:val="26"/>
                <w:rtl/>
              </w:rPr>
              <w:t>2018</w:t>
            </w:r>
            <w:r w:rsidR="00AF684A">
              <w:rPr>
                <w:rStyle w:val="a6"/>
                <w:sz w:val="26"/>
                <w:rtl/>
              </w:rPr>
              <w:footnoteReference w:id="3"/>
            </w:r>
            <w:r>
              <w:rPr>
                <w:rFonts w:hint="cs"/>
                <w:sz w:val="26"/>
                <w:rtl/>
              </w:rPr>
              <w:t xml:space="preserve">, סעיף 4 </w:t>
            </w:r>
            <w:r w:rsidR="00BE64E3">
              <w:rPr>
                <w:sz w:val="26"/>
                <w:rtl/>
              </w:rPr>
              <w:t>–</w:t>
            </w:r>
            <w:r w:rsidR="00BE64E3">
              <w:rPr>
                <w:rFonts w:hint="cs"/>
                <w:sz w:val="26"/>
                <w:rtl/>
              </w:rPr>
              <w:t xml:space="preserve"> בטל.</w:t>
            </w:r>
          </w:p>
        </w:tc>
      </w:tr>
    </w:tbl>
    <w:p w14:paraId="7F6961AE" w14:textId="77777777" w:rsidR="00E13C27" w:rsidRPr="00BE64E3" w:rsidRDefault="00E13C27" w:rsidP="0021633A">
      <w:pPr>
        <w:pStyle w:val="HeadDivreiHesber"/>
        <w:spacing w:before="0" w:after="0"/>
        <w:rPr>
          <w:rtl/>
        </w:rPr>
      </w:pPr>
    </w:p>
    <w:p w14:paraId="7F6961CA" w14:textId="77777777" w:rsidR="002D1EE3" w:rsidRDefault="002D1EE3" w:rsidP="002D1EE3">
      <w:pPr>
        <w:pStyle w:val="HeadDivreiHesber"/>
        <w:rPr>
          <w:rtl/>
        </w:rPr>
      </w:pPr>
      <w:r w:rsidRPr="0027450A">
        <w:rPr>
          <w:rFonts w:hint="cs"/>
          <w:rtl/>
        </w:rPr>
        <w:t>דברי הסבר</w:t>
      </w:r>
    </w:p>
    <w:p w14:paraId="3FA68F9A" w14:textId="295D4086" w:rsidR="00BE64E3" w:rsidRPr="00334988" w:rsidRDefault="00C36D51" w:rsidP="007F5A9F">
      <w:pPr>
        <w:pStyle w:val="Hesber"/>
        <w:spacing w:line="276" w:lineRule="auto"/>
        <w:rPr>
          <w:rtl/>
        </w:rPr>
      </w:pPr>
      <w:r w:rsidRPr="00334988">
        <w:rPr>
          <w:rFonts w:hint="cs"/>
          <w:rtl/>
        </w:rPr>
        <w:t>ב</w:t>
      </w:r>
      <w:r>
        <w:rPr>
          <w:rFonts w:hint="cs"/>
          <w:rtl/>
        </w:rPr>
        <w:t>יום</w:t>
      </w:r>
      <w:r w:rsidRPr="00334988">
        <w:rPr>
          <w:rFonts w:hint="cs"/>
          <w:rtl/>
        </w:rPr>
        <w:t xml:space="preserve"> </w:t>
      </w:r>
      <w:r>
        <w:rPr>
          <w:rFonts w:hint="cs"/>
          <w:rtl/>
        </w:rPr>
        <w:t>ט'</w:t>
      </w:r>
      <w:r w:rsidRPr="00334988">
        <w:rPr>
          <w:rFonts w:hint="cs"/>
          <w:rtl/>
        </w:rPr>
        <w:t xml:space="preserve"> </w:t>
      </w:r>
      <w:r w:rsidR="00BE64E3" w:rsidRPr="00334988">
        <w:rPr>
          <w:rFonts w:hint="cs"/>
          <w:rtl/>
        </w:rPr>
        <w:t>בטבת התשע"ח (</w:t>
      </w:r>
      <w:r w:rsidRPr="00334988">
        <w:rPr>
          <w:rFonts w:hint="cs"/>
          <w:rtl/>
        </w:rPr>
        <w:t>2</w:t>
      </w:r>
      <w:r>
        <w:rPr>
          <w:rFonts w:hint="cs"/>
          <w:rtl/>
        </w:rPr>
        <w:t>7</w:t>
      </w:r>
      <w:r w:rsidR="00BE64E3" w:rsidRPr="00334988">
        <w:rPr>
          <w:rFonts w:hint="cs"/>
          <w:rtl/>
        </w:rPr>
        <w:t>.12.17) אישרה מליאת הכנסת את תיקון מס' 81 לחוק סדר הדין הפלילי</w:t>
      </w:r>
      <w:r>
        <w:rPr>
          <w:rFonts w:hint="cs"/>
          <w:rtl/>
        </w:rPr>
        <w:t>,</w:t>
      </w:r>
      <w:r w:rsidRPr="00C36D51">
        <w:rPr>
          <w:rFonts w:ascii="David" w:hAnsi="Times New Roman" w:hint="cs"/>
          <w:color w:val="auto"/>
          <w:sz w:val="26"/>
          <w:rtl/>
          <w:lang w:eastAsia="en-US"/>
        </w:rPr>
        <w:t xml:space="preserve"> </w:t>
      </w:r>
      <w:r>
        <w:rPr>
          <w:rFonts w:ascii="David" w:hAnsi="Times New Roman" w:hint="cs"/>
          <w:color w:val="auto"/>
          <w:sz w:val="26"/>
          <w:rtl/>
          <w:lang w:eastAsia="en-US"/>
        </w:rPr>
        <w:t>התשמ</w:t>
      </w:r>
      <w:r>
        <w:rPr>
          <w:rFonts w:ascii="David" w:hAnsi="Times New Roman"/>
          <w:color w:val="auto"/>
          <w:sz w:val="26"/>
          <w:lang w:eastAsia="en-US"/>
        </w:rPr>
        <w:t>"</w:t>
      </w:r>
      <w:r>
        <w:rPr>
          <w:rFonts w:ascii="David" w:hAnsi="Times New Roman" w:hint="cs"/>
          <w:color w:val="auto"/>
          <w:sz w:val="26"/>
          <w:rtl/>
          <w:lang w:eastAsia="en-US"/>
        </w:rPr>
        <w:t>ב</w:t>
      </w:r>
      <w:r>
        <w:rPr>
          <w:rFonts w:ascii="David" w:hAnsi="Times New Roman" w:hint="eastAsia"/>
          <w:color w:val="auto"/>
          <w:sz w:val="26"/>
          <w:rtl/>
          <w:lang w:eastAsia="en-US"/>
        </w:rPr>
        <w:t>–</w:t>
      </w:r>
      <w:r>
        <w:rPr>
          <w:rFonts w:ascii="David" w:hAnsi="Times New Roman" w:hint="cs"/>
          <w:color w:val="auto"/>
          <w:sz w:val="26"/>
          <w:rtl/>
          <w:lang w:eastAsia="en-US"/>
        </w:rPr>
        <w:t>1982</w:t>
      </w:r>
      <w:r w:rsidR="007C53A8">
        <w:rPr>
          <w:rFonts w:ascii="David" w:hAnsi="Times New Roman" w:hint="cs"/>
          <w:color w:val="auto"/>
          <w:sz w:val="26"/>
          <w:rtl/>
          <w:lang w:eastAsia="en-US"/>
        </w:rPr>
        <w:t xml:space="preserve">, </w:t>
      </w:r>
      <w:r w:rsidR="007C53A8">
        <w:rPr>
          <w:rFonts w:hint="cs"/>
          <w:rtl/>
        </w:rPr>
        <w:t>הנודע בכינוי</w:t>
      </w:r>
      <w:r w:rsidR="00BE64E3" w:rsidRPr="00334988">
        <w:rPr>
          <w:rFonts w:hint="cs"/>
          <w:rtl/>
        </w:rPr>
        <w:t xml:space="preserve"> "חוק ההמלצות". מטרת </w:t>
      </w:r>
      <w:r>
        <w:rPr>
          <w:rFonts w:hint="cs"/>
          <w:rtl/>
        </w:rPr>
        <w:t>ה</w:t>
      </w:r>
      <w:r w:rsidR="00BE64E3" w:rsidRPr="00334988">
        <w:rPr>
          <w:rFonts w:hint="cs"/>
          <w:rtl/>
        </w:rPr>
        <w:t>תיקון</w:t>
      </w:r>
      <w:r>
        <w:rPr>
          <w:rFonts w:hint="cs"/>
          <w:rtl/>
        </w:rPr>
        <w:t xml:space="preserve"> היא </w:t>
      </w:r>
      <w:r w:rsidR="00BE64E3" w:rsidRPr="00334988">
        <w:rPr>
          <w:rFonts w:hint="cs"/>
          <w:rtl/>
        </w:rPr>
        <w:t xml:space="preserve">לאסור על המשטרה להעביר לידי הפרקליטות את עמדתה לעניין מכלול התשתית הראייתית לביסוס אשמה נגד חשודים בחקירות </w:t>
      </w:r>
      <w:r>
        <w:rPr>
          <w:rFonts w:hint="cs"/>
          <w:rtl/>
        </w:rPr>
        <w:t xml:space="preserve">המלוות על ידי </w:t>
      </w:r>
      <w:r w:rsidR="00BE64E3" w:rsidRPr="00334988">
        <w:rPr>
          <w:rFonts w:hint="cs"/>
          <w:rtl/>
        </w:rPr>
        <w:t xml:space="preserve">פרקליט מלווה. לפי גורמי </w:t>
      </w:r>
      <w:r>
        <w:rPr>
          <w:rFonts w:hint="cs"/>
          <w:rtl/>
        </w:rPr>
        <w:t>ה</w:t>
      </w:r>
      <w:r w:rsidR="00BE64E3" w:rsidRPr="00334988">
        <w:rPr>
          <w:rFonts w:hint="cs"/>
          <w:rtl/>
        </w:rPr>
        <w:t>משטרה, תיקון זה למעשה יחול, מבין עשרות אלפי החקירות המשטרתיות הנפתחות בכל שנה, רק על כמה מאות חקירות מורכבות ובעלות פרופיל ציבורי גבוה ש</w:t>
      </w:r>
      <w:r w:rsidR="009D015E">
        <w:rPr>
          <w:rFonts w:hint="cs"/>
          <w:rtl/>
        </w:rPr>
        <w:t xml:space="preserve">אליהן מוצמד פרקליט מלווה. מדובר, בדרך כלל, </w:t>
      </w:r>
      <w:r w:rsidR="00BE64E3" w:rsidRPr="00334988">
        <w:rPr>
          <w:rFonts w:hint="cs"/>
          <w:rtl/>
        </w:rPr>
        <w:t>בחקירות העוסקות באישי ציבור בכירים (כגון פוליטיקאים, ראשי רשויות ושרי ממשלה) וכן בחקירות הנוגעות לפשיעה מאורגנת או בחקירות מורכבות במיוחד שלגביהן דרושה תמיכה מקצועית מצד פרקליט מלווה.</w:t>
      </w:r>
    </w:p>
    <w:p w14:paraId="73DFCA61" w14:textId="1BA63A70" w:rsidR="00BE64E3" w:rsidRPr="00334988" w:rsidRDefault="00BE64E3" w:rsidP="007F5A9F">
      <w:pPr>
        <w:pStyle w:val="Hesber"/>
        <w:spacing w:line="276" w:lineRule="auto"/>
        <w:rPr>
          <w:rtl/>
        </w:rPr>
      </w:pPr>
      <w:r w:rsidRPr="00334988">
        <w:rPr>
          <w:rFonts w:hint="cs"/>
          <w:rtl/>
        </w:rPr>
        <w:t xml:space="preserve"> נגד "חוק ההמלצות" הוטחה ביקורת ציבורית חריפה מכמה טעמים: ראשית, ניכר היה שהמוטיבציה לחקיקת החוק נולדה בחטא ושהיא קשורה להסתבכות המשפטית של כמה נבחרי ציבור בכירים בחקירות פליליות. העיתוי והאופן שבהם קודם "חוק ההמלצות" פורשו כהתקפה חזיתית על המשטרה ומערכת אכיפת החוק מצד בכירים במערכת הפוליטית בניסיון לבלום התקדמות חקירות משטרתיות קיימות או עתידיות בעניינם. שנית, החוק אינו משרת את מטרתו המוצהרת </w:t>
      </w:r>
      <w:r w:rsidR="00C36D51">
        <w:rPr>
          <w:rFonts w:hint="eastAsia"/>
          <w:rtl/>
        </w:rPr>
        <w:t>–</w:t>
      </w:r>
      <w:r w:rsidR="00C36D51" w:rsidRPr="00334988">
        <w:rPr>
          <w:rFonts w:hint="cs"/>
          <w:rtl/>
        </w:rPr>
        <w:t xml:space="preserve"> </w:t>
      </w:r>
      <w:r w:rsidRPr="00334988">
        <w:rPr>
          <w:rFonts w:hint="cs"/>
          <w:rtl/>
        </w:rPr>
        <w:t xml:space="preserve">תיקון עוול עבור חשודים ששמם הטוב נפגע בעקבות פרסום "המלצות" משטרה בחקירות שלבסוף מסתיימות ללא כתב אישום. זאת משום שהחוק אינו מטפל ברוב המוחלט של חקירות המשטרה העוסקות בעבירות פשוטות </w:t>
      </w:r>
      <w:r w:rsidR="00C36D51">
        <w:rPr>
          <w:rFonts w:hint="cs"/>
          <w:rtl/>
        </w:rPr>
        <w:t>שנעברו על ידי</w:t>
      </w:r>
      <w:r w:rsidRPr="00334988">
        <w:rPr>
          <w:rFonts w:hint="cs"/>
          <w:rtl/>
        </w:rPr>
        <w:t xml:space="preserve"> "אזרחים פשוטים", אלא בעבירות מורכבות ובחשודים </w:t>
      </w:r>
      <w:r w:rsidR="00C36D51">
        <w:rPr>
          <w:rFonts w:hint="cs"/>
          <w:rtl/>
        </w:rPr>
        <w:t>מיוחסים</w:t>
      </w:r>
      <w:r w:rsidRPr="00334988">
        <w:rPr>
          <w:rFonts w:hint="cs"/>
          <w:rtl/>
        </w:rPr>
        <w:t xml:space="preserve"> המשתייכים לאליטה הפוליטית והכלכלית. מלכתחילה לא ראוי </w:t>
      </w:r>
      <w:r w:rsidR="00C36D51">
        <w:rPr>
          <w:rFonts w:hint="cs"/>
          <w:rtl/>
        </w:rPr>
        <w:t xml:space="preserve">היה </w:t>
      </w:r>
      <w:r w:rsidRPr="00334988">
        <w:rPr>
          <w:rFonts w:hint="cs"/>
          <w:rtl/>
        </w:rPr>
        <w:t xml:space="preserve">שחוק שמטרתו המוצהרת </w:t>
      </w:r>
      <w:r w:rsidR="007C53A8">
        <w:rPr>
          <w:rFonts w:hint="cs"/>
          <w:rtl/>
        </w:rPr>
        <w:t>ה</w:t>
      </w:r>
      <w:r w:rsidR="00C36D51">
        <w:rPr>
          <w:rFonts w:hint="cs"/>
          <w:rtl/>
        </w:rPr>
        <w:t xml:space="preserve">יתה </w:t>
      </w:r>
      <w:r w:rsidRPr="00334988">
        <w:rPr>
          <w:rFonts w:hint="cs"/>
          <w:rtl/>
        </w:rPr>
        <w:t>לסייע ל"אזרח הפשוט"</w:t>
      </w:r>
      <w:r w:rsidR="00C36D51">
        <w:rPr>
          <w:rFonts w:hint="cs"/>
          <w:rtl/>
        </w:rPr>
        <w:t>,</w:t>
      </w:r>
      <w:r w:rsidRPr="00334988">
        <w:rPr>
          <w:rFonts w:hint="cs"/>
          <w:rtl/>
        </w:rPr>
        <w:t xml:space="preserve"> יתמקד ב</w:t>
      </w:r>
      <w:r w:rsidR="00C36D51">
        <w:rPr>
          <w:rFonts w:hint="cs"/>
          <w:rtl/>
        </w:rPr>
        <w:t xml:space="preserve">עיקר </w:t>
      </w:r>
      <w:r w:rsidRPr="00334988">
        <w:rPr>
          <w:rFonts w:hint="cs"/>
          <w:rtl/>
        </w:rPr>
        <w:t>חקירות הזוכות לפרקליט מלווה. שלישית, מדובר בחוק פסול</w:t>
      </w:r>
      <w:r w:rsidR="009D015E">
        <w:rPr>
          <w:rFonts w:hint="cs"/>
          <w:rtl/>
        </w:rPr>
        <w:t>,</w:t>
      </w:r>
      <w:r w:rsidRPr="00334988">
        <w:rPr>
          <w:rFonts w:hint="cs"/>
          <w:rtl/>
        </w:rPr>
        <w:t xml:space="preserve"> המזיק לממשקי העבודה בין המשטרה לפרקליטות. הטלת איסור על המשטרה להעביר לפרקליטות את עמדתה לעניין ביסוס התשתית הראייתית תכביד משמעותית על הליך החקירה. הדיאלוג וחילופי המידע בין הגוף החוקר לבין הגוף התובע הם חיוניים, וכל ניסיון </w:t>
      </w:r>
      <w:r w:rsidR="004B55B9" w:rsidRPr="00334988">
        <w:rPr>
          <w:rFonts w:hint="cs"/>
          <w:rtl/>
        </w:rPr>
        <w:t>ל</w:t>
      </w:r>
      <w:r w:rsidR="004B55B9">
        <w:rPr>
          <w:rFonts w:hint="cs"/>
          <w:rtl/>
        </w:rPr>
        <w:t>הציב</w:t>
      </w:r>
      <w:r w:rsidR="004B55B9" w:rsidRPr="00334988">
        <w:rPr>
          <w:rFonts w:hint="cs"/>
          <w:rtl/>
        </w:rPr>
        <w:t xml:space="preserve"> </w:t>
      </w:r>
      <w:r w:rsidRPr="00334988">
        <w:rPr>
          <w:rFonts w:hint="cs"/>
          <w:rtl/>
        </w:rPr>
        <w:t xml:space="preserve">בין המשטרה לפרקליטות </w:t>
      </w:r>
      <w:r w:rsidR="004B55B9">
        <w:rPr>
          <w:rFonts w:hint="cs"/>
          <w:rtl/>
        </w:rPr>
        <w:t>חומה</w:t>
      </w:r>
      <w:r w:rsidRPr="00334988">
        <w:rPr>
          <w:rFonts w:hint="cs"/>
          <w:rtl/>
        </w:rPr>
        <w:t xml:space="preserve"> הוא מלאכותי וחוטא למטרת</w:t>
      </w:r>
      <w:r w:rsidR="004B55B9">
        <w:rPr>
          <w:rFonts w:hint="cs"/>
          <w:rtl/>
        </w:rPr>
        <w:t xml:space="preserve"> העל שהיא חקר</w:t>
      </w:r>
      <w:r w:rsidRPr="00334988">
        <w:rPr>
          <w:rFonts w:hint="cs"/>
          <w:rtl/>
        </w:rPr>
        <w:t xml:space="preserve"> האמת. </w:t>
      </w:r>
    </w:p>
    <w:p w14:paraId="6B63D75C" w14:textId="745FE55D" w:rsidR="00BE64E3" w:rsidRDefault="00BE64E3" w:rsidP="007F5A9F">
      <w:pPr>
        <w:pStyle w:val="Hesber"/>
        <w:spacing w:line="276" w:lineRule="auto"/>
        <w:rPr>
          <w:rtl/>
        </w:rPr>
      </w:pPr>
      <w:r w:rsidRPr="00334988">
        <w:rPr>
          <w:rFonts w:hint="cs"/>
          <w:rtl/>
        </w:rPr>
        <w:t>מסיבות אלה, מוצע לבטל את עיקרי "חוק ההמלצות" ול</w:t>
      </w:r>
      <w:r w:rsidR="004B55B9">
        <w:rPr>
          <w:rFonts w:hint="cs"/>
          <w:rtl/>
        </w:rPr>
        <w:t xml:space="preserve">הותיר את </w:t>
      </w:r>
      <w:r w:rsidRPr="00334988">
        <w:rPr>
          <w:rFonts w:hint="cs"/>
          <w:rtl/>
        </w:rPr>
        <w:t>ההסדר שנקבע בסעיפים 60(יא)(1) ו-</w:t>
      </w:r>
      <w:r w:rsidR="004B55B9">
        <w:rPr>
          <w:rFonts w:hint="cs"/>
          <w:rtl/>
        </w:rPr>
        <w:t>(</w:t>
      </w:r>
      <w:r w:rsidRPr="00334988">
        <w:rPr>
          <w:rFonts w:hint="cs"/>
          <w:rtl/>
        </w:rPr>
        <w:t xml:space="preserve">2) </w:t>
      </w:r>
      <w:r w:rsidR="004B55B9">
        <w:rPr>
          <w:rFonts w:hint="cs"/>
          <w:rtl/>
        </w:rPr>
        <w:t>לחוק, שעוסקים</w:t>
      </w:r>
      <w:r w:rsidRPr="00334988">
        <w:rPr>
          <w:rFonts w:hint="cs"/>
          <w:rtl/>
        </w:rPr>
        <w:t xml:space="preserve"> </w:t>
      </w:r>
      <w:r w:rsidR="004B55B9">
        <w:rPr>
          <w:rFonts w:hint="cs"/>
          <w:rtl/>
        </w:rPr>
        <w:t>ב</w:t>
      </w:r>
      <w:r w:rsidRPr="00334988">
        <w:rPr>
          <w:rFonts w:hint="cs"/>
          <w:rtl/>
        </w:rPr>
        <w:t>איסור העברת עמד</w:t>
      </w:r>
      <w:r w:rsidR="004B55B9">
        <w:rPr>
          <w:rFonts w:hint="cs"/>
          <w:rtl/>
        </w:rPr>
        <w:t xml:space="preserve">ת המשטרה </w:t>
      </w:r>
      <w:r w:rsidRPr="00334988">
        <w:rPr>
          <w:rFonts w:hint="cs"/>
          <w:rtl/>
        </w:rPr>
        <w:t>לעניין הגשת כתב אישום</w:t>
      </w:r>
      <w:r w:rsidR="004B55B9" w:rsidRPr="004B55B9">
        <w:rPr>
          <w:rFonts w:hint="cs"/>
          <w:rtl/>
        </w:rPr>
        <w:t xml:space="preserve"> </w:t>
      </w:r>
      <w:r w:rsidR="004B55B9">
        <w:rPr>
          <w:rFonts w:hint="cs"/>
          <w:rtl/>
        </w:rPr>
        <w:t>לידי הפרקליטות</w:t>
      </w:r>
      <w:r w:rsidRPr="00334988">
        <w:rPr>
          <w:rFonts w:hint="cs"/>
          <w:rtl/>
        </w:rPr>
        <w:t>. הסדר זה למעשה מעגן נורמה שקיימת ממילא מכוח החלטת היועץ המשפטי לממשלה, לפיה המשטרה תעביר לפרקליטות את עמדתה לעניין מכלול התשתית הראייתית לביסוס אשמה, אך תותיר לשיקול דעת הפרקליטות את הקביעה לעניין הגשת כתב אישום.</w:t>
      </w:r>
    </w:p>
    <w:p w14:paraId="4719D7A8" w14:textId="29ADD3E4" w:rsidR="007F5A9F" w:rsidRDefault="007F5A9F" w:rsidP="007F5A9F">
      <w:pPr>
        <w:pStyle w:val="Hesber"/>
        <w:spacing w:line="276" w:lineRule="auto"/>
        <w:rPr>
          <w:rtl/>
        </w:rPr>
      </w:pPr>
    </w:p>
    <w:p w14:paraId="3C109787" w14:textId="77777777" w:rsidR="007F5A9F" w:rsidRPr="00D73212" w:rsidRDefault="007F5A9F" w:rsidP="007F5A9F">
      <w:pPr>
        <w:pStyle w:val="Hesber"/>
        <w:spacing w:line="276" w:lineRule="auto"/>
        <w:rPr>
          <w:color w:val="auto"/>
          <w:rtl/>
          <w:lang w:eastAsia="en-US"/>
        </w:rPr>
      </w:pPr>
      <w:r w:rsidRPr="00D73212">
        <w:rPr>
          <w:color w:val="auto"/>
          <w:rtl/>
          <w:lang w:eastAsia="en-US"/>
        </w:rPr>
        <w:t>---------------------------------</w:t>
      </w:r>
    </w:p>
    <w:p w14:paraId="6391FB7E" w14:textId="77777777" w:rsidR="007F5A9F" w:rsidRPr="00D73212" w:rsidRDefault="007F5A9F" w:rsidP="007F5A9F">
      <w:pPr>
        <w:pStyle w:val="Hesber"/>
        <w:spacing w:line="276" w:lineRule="auto"/>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726A0EBA" w14:textId="77777777" w:rsidR="007F5A9F" w:rsidRPr="00D73212" w:rsidRDefault="007F5A9F" w:rsidP="007F5A9F">
      <w:pPr>
        <w:pStyle w:val="Hesber"/>
        <w:spacing w:line="276" w:lineRule="auto"/>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69C3DC5F" w14:textId="77777777" w:rsidR="007F5A9F" w:rsidRPr="00317312" w:rsidRDefault="007F5A9F" w:rsidP="007F5A9F">
      <w:pPr>
        <w:pStyle w:val="Hesber"/>
        <w:spacing w:line="276" w:lineRule="auto"/>
      </w:pPr>
      <w:r>
        <w:rPr>
          <w:rFonts w:hint="cs"/>
          <w:color w:val="auto"/>
          <w:rtl/>
          <w:lang w:eastAsia="en-US"/>
        </w:rPr>
        <w:t>כ"ח בטבת</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15.1</w:t>
      </w:r>
      <w:r w:rsidRPr="00D73212">
        <w:rPr>
          <w:color w:val="auto"/>
          <w:rtl/>
          <w:lang w:eastAsia="en-US"/>
        </w:rPr>
        <w:t>.</w:t>
      </w:r>
      <w:r>
        <w:rPr>
          <w:rFonts w:hint="cs"/>
          <w:color w:val="auto"/>
          <w:rtl/>
          <w:lang w:eastAsia="en-US"/>
        </w:rPr>
        <w:t>18</w:t>
      </w:r>
    </w:p>
    <w:p w14:paraId="1BF6A625" w14:textId="28F597F1" w:rsidR="007F5A9F" w:rsidRDefault="007F5A9F" w:rsidP="007F5A9F">
      <w:pPr>
        <w:pStyle w:val="Hesber"/>
      </w:pPr>
      <w:bookmarkStart w:id="6" w:name="_GoBack"/>
      <w:bookmarkEnd w:id="6"/>
    </w:p>
    <w:sectPr w:rsidR="007F5A9F" w:rsidSect="007F5A9F">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7F5A9F">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7BB845EC" w14:textId="4E4C991E" w:rsidR="00BE64E3" w:rsidRPr="008E0179" w:rsidRDefault="00BE64E3" w:rsidP="00AF684A">
      <w:pPr>
        <w:pStyle w:val="a4"/>
        <w:rPr>
          <w:rtl/>
        </w:rPr>
      </w:pPr>
      <w:r>
        <w:rPr>
          <w:rStyle w:val="a6"/>
        </w:rPr>
        <w:footnoteRef/>
      </w:r>
      <w:r>
        <w:rPr>
          <w:rtl/>
        </w:rPr>
        <w:t xml:space="preserve"> </w:t>
      </w:r>
      <w:r>
        <w:rPr>
          <w:rFonts w:ascii="David" w:hAnsi="Times New Roman" w:hint="cs"/>
          <w:color w:val="auto"/>
          <w:sz w:val="20"/>
          <w:rtl/>
          <w:lang w:eastAsia="en-US"/>
        </w:rPr>
        <w:t>ס"ח התשמ"ב, עמ' 43</w:t>
      </w:r>
      <w:r w:rsidR="00AF684A">
        <w:rPr>
          <w:rFonts w:ascii="David" w:hAnsi="Times New Roman" w:hint="cs"/>
          <w:color w:val="auto"/>
          <w:sz w:val="20"/>
          <w:rtl/>
          <w:lang w:eastAsia="en-US"/>
        </w:rPr>
        <w:t>.</w:t>
      </w:r>
    </w:p>
  </w:footnote>
  <w:footnote w:id="3">
    <w:p w14:paraId="6CBEB6AB" w14:textId="0D25953A" w:rsidR="00AF684A" w:rsidRDefault="00AF684A">
      <w:pPr>
        <w:pStyle w:val="a4"/>
        <w:rPr>
          <w:rFonts w:hint="cs"/>
          <w:rtl/>
        </w:rPr>
      </w:pPr>
      <w:r>
        <w:rPr>
          <w:rStyle w:val="a6"/>
        </w:rPr>
        <w:footnoteRef/>
      </w:r>
      <w:r>
        <w:rPr>
          <w:rtl/>
        </w:rPr>
        <w:t xml:space="preserve"> </w:t>
      </w:r>
      <w:r w:rsidR="007F5A9F">
        <w:rPr>
          <w:rFonts w:hint="cs"/>
          <w:rtl/>
        </w:rPr>
        <w:t>ס"ח התשע"ח, עמ' 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34988"/>
    <w:rsid w:val="0036422C"/>
    <w:rsid w:val="003710F6"/>
    <w:rsid w:val="00386E88"/>
    <w:rsid w:val="00396585"/>
    <w:rsid w:val="003D6E38"/>
    <w:rsid w:val="003D74A0"/>
    <w:rsid w:val="004033D8"/>
    <w:rsid w:val="004073F0"/>
    <w:rsid w:val="00412A7D"/>
    <w:rsid w:val="00416B4D"/>
    <w:rsid w:val="00417CFC"/>
    <w:rsid w:val="004A06DC"/>
    <w:rsid w:val="004B24ED"/>
    <w:rsid w:val="004B55B9"/>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C53A8"/>
    <w:rsid w:val="007D585A"/>
    <w:rsid w:val="007D5A12"/>
    <w:rsid w:val="007E59F9"/>
    <w:rsid w:val="007F5A9F"/>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C0A59"/>
    <w:rsid w:val="009D015E"/>
    <w:rsid w:val="009D6E0A"/>
    <w:rsid w:val="009E1E33"/>
    <w:rsid w:val="009F1059"/>
    <w:rsid w:val="00A14672"/>
    <w:rsid w:val="00A26BD6"/>
    <w:rsid w:val="00A443CF"/>
    <w:rsid w:val="00A6611D"/>
    <w:rsid w:val="00A82CB7"/>
    <w:rsid w:val="00A942C1"/>
    <w:rsid w:val="00AA2F03"/>
    <w:rsid w:val="00AC36F7"/>
    <w:rsid w:val="00AC63A4"/>
    <w:rsid w:val="00AD239E"/>
    <w:rsid w:val="00AF684A"/>
    <w:rsid w:val="00B10265"/>
    <w:rsid w:val="00B16A99"/>
    <w:rsid w:val="00B21211"/>
    <w:rsid w:val="00B35784"/>
    <w:rsid w:val="00B733A7"/>
    <w:rsid w:val="00B75C91"/>
    <w:rsid w:val="00B975AD"/>
    <w:rsid w:val="00BC45FB"/>
    <w:rsid w:val="00BE64E3"/>
    <w:rsid w:val="00BF148D"/>
    <w:rsid w:val="00C23B1A"/>
    <w:rsid w:val="00C310EB"/>
    <w:rsid w:val="00C36D51"/>
    <w:rsid w:val="00C9176A"/>
    <w:rsid w:val="00CF1AA2"/>
    <w:rsid w:val="00D17774"/>
    <w:rsid w:val="00D35EE9"/>
    <w:rsid w:val="00D63620"/>
    <w:rsid w:val="00D8410D"/>
    <w:rsid w:val="00D867D7"/>
    <w:rsid w:val="00DB0630"/>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BE64E3"/>
    <w:rPr>
      <w:rFonts w:ascii="Arial" w:eastAsia="Arial Unicode MS" w:hAnsi="Arial" w:cs="David"/>
      <w:snapToGrid w:val="0"/>
      <w:color w:val="000000"/>
      <w:sz w:val="14"/>
      <w:lang w:eastAsia="ja-JP"/>
    </w:rPr>
  </w:style>
  <w:style w:type="paragraph" w:customStyle="1" w:styleId="P00">
    <w:name w:val="P00"/>
    <w:link w:val="P000"/>
    <w:rsid w:val="009C0A5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character" w:customStyle="1" w:styleId="default">
    <w:name w:val="default"/>
    <w:rsid w:val="009C0A59"/>
    <w:rPr>
      <w:rFonts w:ascii="Times New Roman" w:hAnsi="Times New Roman" w:cs="Times New Roman"/>
      <w:sz w:val="26"/>
      <w:szCs w:val="26"/>
    </w:rPr>
  </w:style>
  <w:style w:type="character" w:customStyle="1" w:styleId="P000">
    <w:name w:val="P00 תו"/>
    <w:link w:val="P00"/>
    <w:rsid w:val="009C0A59"/>
    <w:rPr>
      <w:rFonts w:eastAsia="Times New Roman"/>
      <w:noProof/>
      <w:szCs w:val="26"/>
      <w:lang w:eastAsia="he-IL"/>
    </w:rPr>
  </w:style>
  <w:style w:type="character" w:customStyle="1" w:styleId="big-number">
    <w:name w:val="big-number"/>
    <w:rsid w:val="009C0A59"/>
    <w:rPr>
      <w:rFonts w:ascii="Times New Roman" w:hAnsi="Times New Roman" w:cs="Miriam"/>
      <w:sz w:val="32"/>
      <w:szCs w:val="32"/>
    </w:rPr>
  </w:style>
  <w:style w:type="character" w:styleId="ae">
    <w:name w:val="annotation reference"/>
    <w:basedOn w:val="a0"/>
    <w:semiHidden/>
    <w:unhideWhenUsed/>
    <w:rsid w:val="00AF684A"/>
    <w:rPr>
      <w:sz w:val="16"/>
      <w:szCs w:val="16"/>
    </w:rPr>
  </w:style>
  <w:style w:type="paragraph" w:styleId="af">
    <w:name w:val="annotation text"/>
    <w:basedOn w:val="a"/>
    <w:link w:val="af0"/>
    <w:semiHidden/>
    <w:unhideWhenUsed/>
    <w:rsid w:val="00AF684A"/>
    <w:pPr>
      <w:spacing w:line="240" w:lineRule="auto"/>
    </w:pPr>
    <w:rPr>
      <w:sz w:val="20"/>
      <w:szCs w:val="20"/>
    </w:rPr>
  </w:style>
  <w:style w:type="character" w:customStyle="1" w:styleId="af0">
    <w:name w:val="טקסט הערה תו"/>
    <w:basedOn w:val="a0"/>
    <w:link w:val="af"/>
    <w:semiHidden/>
    <w:rsid w:val="00AF684A"/>
    <w:rPr>
      <w:rFonts w:ascii="Hadasa Roso SL" w:hAnsi="Hadasa Roso SL" w:cs="Hadasa Roso SL"/>
      <w:color w:val="000000"/>
      <w:spacing w:val="1"/>
      <w:lang w:eastAsia="ja-JP"/>
    </w:rPr>
  </w:style>
  <w:style w:type="paragraph" w:styleId="af1">
    <w:name w:val="annotation subject"/>
    <w:basedOn w:val="af"/>
    <w:next w:val="af"/>
    <w:link w:val="af2"/>
    <w:semiHidden/>
    <w:unhideWhenUsed/>
    <w:rsid w:val="00AF684A"/>
    <w:rPr>
      <w:b/>
      <w:bCs/>
    </w:rPr>
  </w:style>
  <w:style w:type="character" w:customStyle="1" w:styleId="af2">
    <w:name w:val="נושא הערה תו"/>
    <w:basedOn w:val="af0"/>
    <w:link w:val="af1"/>
    <w:semiHidden/>
    <w:rsid w:val="00AF684A"/>
    <w:rPr>
      <w:rFonts w:ascii="Hadasa Roso SL" w:hAnsi="Hadasa Roso SL" w:cs="Hadasa Roso SL"/>
      <w:b/>
      <w:bCs/>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223A97E2-356A-4392-B66F-E023CDC8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0AD8-548D-4A58-A2B0-4F21868F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573</Words>
  <Characters>2867</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9</cp:revision>
  <cp:lastPrinted>2018-01-11T10:55:00Z</cp:lastPrinted>
  <dcterms:created xsi:type="dcterms:W3CDTF">2015-04-20T09:58:00Z</dcterms:created>
  <dcterms:modified xsi:type="dcterms:W3CDTF">2018-01-11T10:56:00Z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2063432</vt:r8>
  </property>
</Properties>
</file>