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2025282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6C057F26" w:rsidR="00E13C27" w:rsidRPr="00CF1AA2" w:rsidRDefault="008F6665" w:rsidP="00C80788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יוסף ג'בארין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מוסי רז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יוסף עטאונה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איימן עודה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פ/4971/20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39BAC0FE" w:rsidR="00E13C27" w:rsidRPr="00F67051" w:rsidRDefault="005F7DDE" w:rsidP="00C80788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הביטוח הלאומי (תיקון </w:t>
      </w:r>
      <w:r w:rsidR="00C80788">
        <w:rPr>
          <w:rFonts w:hint="eastAsia"/>
          <w:rtl/>
        </w:rPr>
        <w:t>–</w:t>
      </w:r>
      <w:r>
        <w:rPr>
          <w:rFonts w:hint="cs"/>
          <w:rtl/>
        </w:rPr>
        <w:t xml:space="preserve"> הארכת התקופה לקבלת קצבה רטרואקטיבית), התשע"ח</w:t>
      </w:r>
      <w:r w:rsidR="00C80788">
        <w:rPr>
          <w:rFonts w:hint="eastAsia"/>
          <w:rtl/>
        </w:rPr>
        <w:t>–</w:t>
      </w:r>
      <w:r>
        <w:rPr>
          <w:rFonts w:hint="cs"/>
          <w:rtl/>
        </w:rPr>
        <w:t>2018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14:paraId="3D9B61D1" w14:textId="77777777" w:rsidTr="002C3041">
        <w:trPr>
          <w:cantSplit/>
          <w:trHeight w:val="60"/>
        </w:trPr>
        <w:tc>
          <w:tcPr>
            <w:tcW w:w="1871" w:type="dxa"/>
          </w:tcPr>
          <w:p w14:paraId="6C0CB9D8" w14:textId="5BAE5526" w:rsidR="002F1D80" w:rsidRDefault="005F7DDE" w:rsidP="002C3041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296</w:t>
            </w:r>
          </w:p>
        </w:tc>
        <w:tc>
          <w:tcPr>
            <w:tcW w:w="624" w:type="dxa"/>
          </w:tcPr>
          <w:p w14:paraId="3F4286A2" w14:textId="791D8C9C" w:rsidR="002F1D80" w:rsidRDefault="005F7DDE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 xml:space="preserve">1. </w:t>
            </w:r>
          </w:p>
        </w:tc>
        <w:tc>
          <w:tcPr>
            <w:tcW w:w="7146" w:type="dxa"/>
          </w:tcPr>
          <w:p w14:paraId="7633D5BB" w14:textId="186ADFB8" w:rsidR="002F1D80" w:rsidRPr="00C34DE2" w:rsidRDefault="005F7DDE" w:rsidP="0086580C">
            <w:pPr>
              <w:pStyle w:val="TableBlock"/>
              <w:keepLines w:val="0"/>
            </w:pPr>
            <w:r>
              <w:rPr>
                <w:rFonts w:hint="cs"/>
                <w:rtl/>
              </w:rPr>
              <w:t>בחוק הביטוח הלאומי [נוסח משולב], התשנ"ה</w:t>
            </w:r>
            <w:r w:rsidR="0086580C"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1995</w:t>
            </w:r>
            <w:r>
              <w:rPr>
                <w:rStyle w:val="a5"/>
                <w:rtl/>
              </w:rPr>
              <w:footnoteReference w:id="2"/>
            </w:r>
            <w:r>
              <w:rPr>
                <w:rFonts w:hint="cs"/>
                <w:rtl/>
              </w:rPr>
              <w:t xml:space="preserve">, בסעיף 296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5F7DDE" w14:paraId="78366876" w14:textId="77777777" w:rsidTr="002C3041">
        <w:trPr>
          <w:cantSplit/>
          <w:trHeight w:val="60"/>
        </w:trPr>
        <w:tc>
          <w:tcPr>
            <w:tcW w:w="1871" w:type="dxa"/>
          </w:tcPr>
          <w:p w14:paraId="5E486B01" w14:textId="77777777" w:rsidR="005F7DDE" w:rsidRDefault="005F7DDE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1B3DFAC7" w14:textId="77777777" w:rsidR="005F7DDE" w:rsidRDefault="005F7DDE" w:rsidP="002C3041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6" w:type="dxa"/>
          </w:tcPr>
          <w:p w14:paraId="33CA6FF9" w14:textId="66D2DEA6" w:rsidR="005F7DDE" w:rsidRDefault="005F7DDE" w:rsidP="00C153E8">
            <w:pPr>
              <w:pStyle w:val="TableBlock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בסעיף קטן (א), </w:t>
            </w:r>
            <w:r w:rsidRPr="000A7038">
              <w:rPr>
                <w:rtl/>
              </w:rPr>
              <w:t>במקום</w:t>
            </w:r>
            <w:r w:rsidRPr="0EC023EE">
              <w:rPr>
                <w:rtl/>
              </w:rPr>
              <w:t xml:space="preserve"> "שנים עשר חודשים" </w:t>
            </w:r>
            <w:r w:rsidRPr="000A7038">
              <w:rPr>
                <w:rtl/>
              </w:rPr>
              <w:t>יבוא</w:t>
            </w:r>
            <w:r w:rsidRPr="0EC023EE">
              <w:rPr>
                <w:rtl/>
              </w:rPr>
              <w:t xml:space="preserve"> "</w:t>
            </w:r>
            <w:r w:rsidR="00FB1E98">
              <w:rPr>
                <w:rFonts w:hint="cs"/>
                <w:rtl/>
              </w:rPr>
              <w:t>24 חודשים</w:t>
            </w:r>
            <w:r>
              <w:rPr>
                <w:rFonts w:hint="cs"/>
                <w:rtl/>
              </w:rPr>
              <w:t>"</w:t>
            </w:r>
            <w:r w:rsidR="00FB1E98">
              <w:rPr>
                <w:rFonts w:hint="cs"/>
                <w:rtl/>
              </w:rPr>
              <w:t>;</w:t>
            </w:r>
          </w:p>
        </w:tc>
      </w:tr>
      <w:tr w:rsidR="005F7DDE" w14:paraId="0CF58D60" w14:textId="77777777" w:rsidTr="002C3041">
        <w:trPr>
          <w:cantSplit/>
          <w:trHeight w:val="60"/>
        </w:trPr>
        <w:tc>
          <w:tcPr>
            <w:tcW w:w="1871" w:type="dxa"/>
          </w:tcPr>
          <w:p w14:paraId="2EE670CF" w14:textId="77777777" w:rsidR="005F7DDE" w:rsidRDefault="005F7DDE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59827830" w14:textId="77777777" w:rsidR="005F7DDE" w:rsidRDefault="005F7DDE" w:rsidP="002C3041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6" w:type="dxa"/>
          </w:tcPr>
          <w:p w14:paraId="7D49A2C0" w14:textId="7009A172" w:rsidR="005F7DDE" w:rsidRDefault="005F7DDE" w:rsidP="0086580C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="00C80788">
              <w:rPr>
                <w:rFonts w:hint="cs"/>
                <w:rtl/>
              </w:rPr>
              <w:t>בסעיף קטן (ב),</w:t>
            </w:r>
            <w:r w:rsidR="00C80788" w:rsidRPr="00FB1E98">
              <w:rPr>
                <w:rFonts w:hint="cs"/>
                <w:rtl/>
              </w:rPr>
              <w:t xml:space="preserve"> </w:t>
            </w:r>
            <w:r w:rsidR="00C80788" w:rsidRPr="00FB1E98">
              <w:rPr>
                <w:rFonts w:hint="cs"/>
                <w:rtl/>
              </w:rPr>
              <w:t xml:space="preserve">בפסקה (1), </w:t>
            </w:r>
            <w:r w:rsidR="00C80788">
              <w:rPr>
                <w:rtl/>
              </w:rPr>
              <w:t>במקום "12 חודשים"</w:t>
            </w:r>
            <w:r w:rsidR="00C80788" w:rsidRPr="00FB1E98">
              <w:rPr>
                <w:rtl/>
              </w:rPr>
              <w:t xml:space="preserve"> יבוא "</w:t>
            </w:r>
            <w:r w:rsidR="00C80788" w:rsidRPr="00FB1E98">
              <w:rPr>
                <w:rFonts w:hint="cs"/>
                <w:rtl/>
              </w:rPr>
              <w:t>24 חודשים</w:t>
            </w:r>
            <w:r w:rsidR="00C80788">
              <w:rPr>
                <w:rFonts w:hint="cs"/>
                <w:rtl/>
              </w:rPr>
              <w:t xml:space="preserve">", </w:t>
            </w:r>
            <w:r w:rsidR="00C80788" w:rsidRPr="00C153E8">
              <w:rPr>
                <w:rtl/>
              </w:rPr>
              <w:t>ובמקום "18 חודשים" יבוא "</w:t>
            </w:r>
            <w:r w:rsidR="00C80788">
              <w:rPr>
                <w:rFonts w:hint="cs"/>
                <w:rtl/>
              </w:rPr>
              <w:t>36 חודשים</w:t>
            </w:r>
            <w:r w:rsidR="00C80788">
              <w:rPr>
                <w:rtl/>
              </w:rPr>
              <w:t>"</w:t>
            </w:r>
            <w:r w:rsidR="00C80788">
              <w:rPr>
                <w:rFonts w:hint="cs"/>
                <w:rtl/>
              </w:rPr>
              <w:t>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509421DB" w14:textId="554D8BF9" w:rsidR="000735DA" w:rsidRPr="00FB1E98" w:rsidRDefault="000735DA" w:rsidP="00FB1E98">
      <w:pPr>
        <w:pStyle w:val="Hesber"/>
        <w:rPr>
          <w:rtl/>
        </w:rPr>
      </w:pPr>
      <w:r w:rsidRPr="00FB1E98">
        <w:rPr>
          <w:rFonts w:hint="cs"/>
          <w:rtl/>
        </w:rPr>
        <w:t>בשנת 2015 פרסם המוסד לביטוח לא</w:t>
      </w:r>
      <w:r w:rsidR="00FB1E98">
        <w:rPr>
          <w:rFonts w:hint="cs"/>
          <w:rtl/>
        </w:rPr>
        <w:t>ומי תכנית הצעות לחקיקה חברתית "צופה פני עתיד" (</w:t>
      </w:r>
      <w:r w:rsidRPr="00FB1E98">
        <w:rPr>
          <w:rFonts w:hint="cs"/>
          <w:rtl/>
        </w:rPr>
        <w:t>המוסד לביטוח לאו</w:t>
      </w:r>
      <w:r w:rsidR="00FB1E98">
        <w:rPr>
          <w:rFonts w:hint="cs"/>
          <w:rtl/>
        </w:rPr>
        <w:t>מי, תכנית הצעות לחקיקה חברתית "צופה פני עתיד", אפריל 2015</w:t>
      </w:r>
      <w:r w:rsidRPr="00FB1E98">
        <w:rPr>
          <w:rFonts w:hint="cs"/>
          <w:rtl/>
        </w:rPr>
        <w:t>), התכנית כוללת הצעות לתיקון חוק הביטוח הלאומי</w:t>
      </w:r>
      <w:r w:rsidR="00FB1E98">
        <w:rPr>
          <w:rFonts w:hint="cs"/>
          <w:rtl/>
        </w:rPr>
        <w:t xml:space="preserve"> </w:t>
      </w:r>
      <w:r w:rsidRPr="00FB1E98">
        <w:t>]</w:t>
      </w:r>
      <w:r w:rsidR="00FB1E98">
        <w:rPr>
          <w:rFonts w:hint="cs"/>
          <w:rtl/>
        </w:rPr>
        <w:t>נוסח משולב], התשנ"ה</w:t>
      </w:r>
      <w:r w:rsidR="00FB1E98">
        <w:rPr>
          <w:rFonts w:hint="eastAsia"/>
          <w:rtl/>
        </w:rPr>
        <w:t>–</w:t>
      </w:r>
      <w:r w:rsidR="005F7DDE" w:rsidRPr="00FB1E98">
        <w:rPr>
          <w:rFonts w:hint="cs"/>
          <w:rtl/>
        </w:rPr>
        <w:t>1995 (</w:t>
      </w:r>
      <w:r w:rsidRPr="00FB1E98">
        <w:rPr>
          <w:rFonts w:hint="cs"/>
          <w:rtl/>
        </w:rPr>
        <w:t>להלן</w:t>
      </w:r>
      <w:r w:rsidR="005F7DDE" w:rsidRPr="00FB1E98">
        <w:rPr>
          <w:rFonts w:hint="cs"/>
          <w:rtl/>
        </w:rPr>
        <w:t xml:space="preserve"> </w:t>
      </w:r>
      <w:r w:rsidR="005F7DDE" w:rsidRPr="00FB1E98">
        <w:rPr>
          <w:rtl/>
        </w:rPr>
        <w:t>–</w:t>
      </w:r>
      <w:r w:rsidR="005F7DDE" w:rsidRPr="00FB1E98">
        <w:rPr>
          <w:rFonts w:hint="cs"/>
          <w:rtl/>
        </w:rPr>
        <w:t xml:space="preserve"> </w:t>
      </w:r>
      <w:r w:rsidRPr="00FB1E98">
        <w:rPr>
          <w:rFonts w:hint="cs"/>
          <w:rtl/>
        </w:rPr>
        <w:t xml:space="preserve">החוק), ובין ההצעות </w:t>
      </w:r>
      <w:r w:rsidR="00FB1E98">
        <w:rPr>
          <w:rFonts w:hint="cs"/>
          <w:rtl/>
        </w:rPr>
        <w:t xml:space="preserve">שמופיעות </w:t>
      </w:r>
      <w:r w:rsidRPr="00FB1E98">
        <w:rPr>
          <w:rFonts w:hint="cs"/>
          <w:rtl/>
        </w:rPr>
        <w:t xml:space="preserve">במסמך מופיעה </w:t>
      </w:r>
      <w:r w:rsidR="00FB1E98">
        <w:rPr>
          <w:rFonts w:hint="cs"/>
          <w:rtl/>
        </w:rPr>
        <w:t>גם</w:t>
      </w:r>
      <w:r w:rsidRPr="00FB1E98">
        <w:rPr>
          <w:rFonts w:hint="cs"/>
          <w:rtl/>
        </w:rPr>
        <w:t xml:space="preserve"> הצעה זו.</w:t>
      </w:r>
    </w:p>
    <w:p w14:paraId="5DE3A7CC" w14:textId="7196E8FC" w:rsidR="000735DA" w:rsidRPr="00FB1E98" w:rsidRDefault="000735DA" w:rsidP="00FB1E98">
      <w:pPr>
        <w:pStyle w:val="Hesber"/>
        <w:rPr>
          <w:rtl/>
        </w:rPr>
      </w:pPr>
      <w:r w:rsidRPr="00FB1E98">
        <w:rPr>
          <w:rtl/>
        </w:rPr>
        <w:t xml:space="preserve">סעיף 296 לחוק </w:t>
      </w:r>
      <w:r w:rsidR="00FB1E98">
        <w:rPr>
          <w:rtl/>
        </w:rPr>
        <w:t xml:space="preserve">קובע את הכללים לתשלום גמלה בעד </w:t>
      </w:r>
      <w:r w:rsidRPr="00FB1E98">
        <w:rPr>
          <w:rtl/>
        </w:rPr>
        <w:t>תקופה</w:t>
      </w:r>
      <w:r w:rsidR="00FB1E98">
        <w:rPr>
          <w:rFonts w:hint="cs"/>
          <w:rtl/>
        </w:rPr>
        <w:t xml:space="preserve"> שקדמה</w:t>
      </w:r>
      <w:r w:rsidRPr="00FB1E98">
        <w:rPr>
          <w:rtl/>
        </w:rPr>
        <w:t xml:space="preserve"> למועד הגשת התביעה. ככלל, גמלה תשולם רטרואקטיבית בעד תקופה שלא תעלה על 12 חודשים מיום הגשת התביעה לגמלה. המטרה העיקרית בהגבלה זו </w:t>
      </w:r>
      <w:r w:rsidRPr="00FB1E98">
        <w:rPr>
          <w:rFonts w:hint="cs"/>
          <w:rtl/>
        </w:rPr>
        <w:t>היית</w:t>
      </w:r>
      <w:r w:rsidRPr="00FB1E98">
        <w:rPr>
          <w:rFonts w:hint="eastAsia"/>
          <w:rtl/>
        </w:rPr>
        <w:t>ה</w:t>
      </w:r>
      <w:r w:rsidR="00FB1E98">
        <w:rPr>
          <w:rtl/>
        </w:rPr>
        <w:t xml:space="preserve"> למנוע עיכובים בהגשת </w:t>
      </w:r>
      <w:r w:rsidRPr="00FB1E98">
        <w:rPr>
          <w:rtl/>
        </w:rPr>
        <w:t>תביעות.</w:t>
      </w:r>
    </w:p>
    <w:p w14:paraId="01A923C4" w14:textId="064DE910" w:rsidR="000735DA" w:rsidRPr="00FB1E98" w:rsidRDefault="00A43B3B" w:rsidP="00285514">
      <w:pPr>
        <w:pStyle w:val="Hesber"/>
        <w:rPr>
          <w:rtl/>
        </w:rPr>
      </w:pPr>
      <w:r>
        <w:rPr>
          <w:rFonts w:hint="cs"/>
          <w:rtl/>
        </w:rPr>
        <w:t>בעבר</w:t>
      </w:r>
      <w:r w:rsidR="000735DA" w:rsidRPr="00FB1E98">
        <w:rPr>
          <w:rtl/>
        </w:rPr>
        <w:t xml:space="preserve"> תוקן סעיף 296 </w:t>
      </w:r>
      <w:r>
        <w:rPr>
          <w:rFonts w:hint="cs"/>
          <w:rtl/>
        </w:rPr>
        <w:t xml:space="preserve">לחוק </w:t>
      </w:r>
      <w:r w:rsidR="000735DA" w:rsidRPr="00FB1E98">
        <w:rPr>
          <w:rtl/>
        </w:rPr>
        <w:t>כך שהגמלה</w:t>
      </w:r>
      <w:r w:rsidR="000735DA" w:rsidRPr="00FB1E98">
        <w:rPr>
          <w:rFonts w:hint="cs"/>
          <w:rtl/>
        </w:rPr>
        <w:t xml:space="preserve"> </w:t>
      </w:r>
      <w:r w:rsidR="000735DA" w:rsidRPr="00FB1E98">
        <w:rPr>
          <w:rtl/>
        </w:rPr>
        <w:t xml:space="preserve">תשולם </w:t>
      </w:r>
      <w:r w:rsidR="000735DA" w:rsidRPr="00FB1E98">
        <w:rPr>
          <w:rFonts w:hint="cs"/>
          <w:rtl/>
        </w:rPr>
        <w:t>רטרואקטיב</w:t>
      </w:r>
      <w:r w:rsidR="000735DA" w:rsidRPr="00FB1E98">
        <w:rPr>
          <w:rFonts w:hint="eastAsia"/>
          <w:rtl/>
        </w:rPr>
        <w:t>י</w:t>
      </w:r>
      <w:r>
        <w:rPr>
          <w:rFonts w:hint="cs"/>
          <w:rtl/>
        </w:rPr>
        <w:t>ת</w:t>
      </w:r>
      <w:r w:rsidR="000735DA" w:rsidRPr="00FB1E98">
        <w:rPr>
          <w:rtl/>
        </w:rPr>
        <w:t xml:space="preserve"> בעד תקופה של 12 חודשים בלבד</w:t>
      </w:r>
      <w:r w:rsidR="000735DA" w:rsidRPr="00FB1E98">
        <w:rPr>
          <w:rFonts w:hint="cs"/>
          <w:rtl/>
        </w:rPr>
        <w:t xml:space="preserve"> </w:t>
      </w:r>
      <w:r w:rsidR="000735DA" w:rsidRPr="00FB1E98">
        <w:rPr>
          <w:rtl/>
        </w:rPr>
        <w:t>במקום 48 החודשים שהיו קבועים בחוק עד אז</w:t>
      </w:r>
      <w:r w:rsidR="000735DA" w:rsidRPr="00FB1E98">
        <w:rPr>
          <w:rFonts w:hint="cs"/>
          <w:rtl/>
        </w:rPr>
        <w:t>.</w:t>
      </w:r>
    </w:p>
    <w:p w14:paraId="50CDC3D5" w14:textId="77777777" w:rsidR="000735DA" w:rsidRPr="00FB1E98" w:rsidRDefault="000735DA" w:rsidP="00FB1E98">
      <w:pPr>
        <w:pStyle w:val="Hesber"/>
        <w:rPr>
          <w:rtl/>
        </w:rPr>
      </w:pPr>
      <w:r w:rsidRPr="00FB1E98">
        <w:rPr>
          <w:rtl/>
        </w:rPr>
        <w:t>הנפגעים העיקריים מהוראה זו הם מטבע הדברים אזרחים מהאוכלו</w:t>
      </w:r>
      <w:r w:rsidRPr="00FB1E98">
        <w:rPr>
          <w:rFonts w:hint="cs"/>
          <w:rtl/>
        </w:rPr>
        <w:t>ס</w:t>
      </w:r>
      <w:r w:rsidRPr="00FB1E98">
        <w:rPr>
          <w:rtl/>
        </w:rPr>
        <w:t>יות מוחלשות שמתקשים במימוש זכויותיהם ביעילות.</w:t>
      </w:r>
    </w:p>
    <w:p w14:paraId="00DEB3FA" w14:textId="77777777" w:rsidR="000735DA" w:rsidRPr="00FB1E98" w:rsidRDefault="000735DA" w:rsidP="00FB1E98">
      <w:pPr>
        <w:pStyle w:val="Hesber"/>
        <w:rPr>
          <w:rtl/>
        </w:rPr>
      </w:pPr>
      <w:r w:rsidRPr="00FB1E98">
        <w:rPr>
          <w:rFonts w:hint="cs"/>
          <w:rtl/>
        </w:rPr>
        <w:t>חשוב לקחת בחשבון שחלק משמעותי מכלל המובטחים אינם מודעים למלוא זכויותיהם או שאינם בקיאים ומיומנים בתהליכים שעליהם להפעיל על מנת לקבל את הזכאות שקבע החוק.</w:t>
      </w:r>
    </w:p>
    <w:p w14:paraId="7AAB247B" w14:textId="77777777" w:rsidR="000735DA" w:rsidRPr="00FB1E98" w:rsidRDefault="000735DA" w:rsidP="00FB1E98">
      <w:pPr>
        <w:pStyle w:val="Hesber"/>
      </w:pPr>
      <w:r w:rsidRPr="00FB1E98">
        <w:rPr>
          <w:rFonts w:hint="cs"/>
          <w:rtl/>
        </w:rPr>
        <w:lastRenderedPageBreak/>
        <w:t>בפרסום של המוסד לביטוח לאומי הובהר ש</w:t>
      </w:r>
      <w:r w:rsidRPr="00FB1E98">
        <w:rPr>
          <w:rtl/>
        </w:rPr>
        <w:t>לאור ניסיונו של המוסד בעניין זה, נראה כי פרק זמן של 12 חודשים הוא תקופה קצרה</w:t>
      </w:r>
      <w:r w:rsidRPr="00FB1E98">
        <w:rPr>
          <w:rFonts w:hint="cs"/>
          <w:rtl/>
        </w:rPr>
        <w:t xml:space="preserve">, ולפיכך </w:t>
      </w:r>
      <w:r w:rsidRPr="00FB1E98">
        <w:rPr>
          <w:rtl/>
        </w:rPr>
        <w:t xml:space="preserve">מוצע </w:t>
      </w:r>
      <w:r w:rsidRPr="00FB1E98">
        <w:rPr>
          <w:rFonts w:hint="cs"/>
          <w:rtl/>
        </w:rPr>
        <w:t xml:space="preserve">בחוק זה </w:t>
      </w:r>
      <w:r w:rsidRPr="00FB1E98">
        <w:rPr>
          <w:rtl/>
        </w:rPr>
        <w:t>להאריך את תקופת הזכאות לקצבה רטרואקטיבית</w:t>
      </w:r>
      <w:r w:rsidRPr="00FB1E98">
        <w:rPr>
          <w:rFonts w:hint="cs"/>
          <w:rtl/>
        </w:rPr>
        <w:t>,</w:t>
      </w:r>
      <w:r w:rsidRPr="00FB1E98">
        <w:rPr>
          <w:rtl/>
        </w:rPr>
        <w:t xml:space="preserve"> או לגמלה</w:t>
      </w:r>
      <w:r w:rsidRPr="00FB1E98">
        <w:rPr>
          <w:rFonts w:hint="cs"/>
          <w:rtl/>
        </w:rPr>
        <w:t>,</w:t>
      </w:r>
      <w:r w:rsidRPr="00FB1E98">
        <w:rPr>
          <w:rtl/>
        </w:rPr>
        <w:t xml:space="preserve"> ל-</w:t>
      </w:r>
      <w:r w:rsidRPr="00FB1E98">
        <w:rPr>
          <w:rFonts w:hint="cs"/>
          <w:rtl/>
        </w:rPr>
        <w:t>24 חודשים</w:t>
      </w:r>
      <w:r w:rsidRPr="00FB1E98">
        <w:rPr>
          <w:rtl/>
        </w:rPr>
        <w:t xml:space="preserve"> אחורה, כדי לצמצם את הפגיעה בזכאים.</w:t>
      </w:r>
    </w:p>
    <w:p w14:paraId="10BECB55" w14:textId="11C56F74" w:rsidR="0086580C" w:rsidRDefault="0086580C" w:rsidP="0086580C">
      <w:pPr>
        <w:pStyle w:val="Hesber"/>
        <w:rPr>
          <w:rtl/>
        </w:rPr>
      </w:pPr>
      <w:r>
        <w:rPr>
          <w:rFonts w:hint="cs"/>
          <w:rtl/>
        </w:rPr>
        <w:t xml:space="preserve">הצעות חוק דומות בעיקרן הונחו </w:t>
      </w:r>
      <w:r w:rsidR="00B52BD4">
        <w:rPr>
          <w:rFonts w:hint="cs"/>
          <w:rtl/>
        </w:rPr>
        <w:t>על שולחן הכנסת התשע-עשרה על ידי חבר הכנסת אחמד טיבי (פ/892/19) ו</w:t>
      </w:r>
      <w:r>
        <w:rPr>
          <w:rFonts w:hint="cs"/>
          <w:rtl/>
        </w:rPr>
        <w:t xml:space="preserve">על שולחן הכנסת העשרים </w:t>
      </w:r>
      <w:r w:rsidRPr="0086580C">
        <w:rPr>
          <w:rtl/>
        </w:rPr>
        <w:t xml:space="preserve">על ידי </w:t>
      </w:r>
      <w:r>
        <w:rPr>
          <w:rtl/>
        </w:rPr>
        <w:t>חבר הכנסת אילן גילאון (</w:t>
      </w:r>
      <w:r w:rsidRPr="0086580C">
        <w:rPr>
          <w:rFonts w:hint="cs"/>
          <w:rtl/>
        </w:rPr>
        <w:t>פ/1069/20</w:t>
      </w:r>
      <w:r w:rsidRPr="0086580C">
        <w:rPr>
          <w:rtl/>
        </w:rPr>
        <w:t>)</w:t>
      </w:r>
      <w:r>
        <w:rPr>
          <w:rFonts w:hint="cs"/>
          <w:rtl/>
        </w:rPr>
        <w:t>, ועל ידי חבר הכנסת אחמד טיבי ואוסאמה סעדי (פ/1070/20).</w:t>
      </w:r>
      <w:r w:rsidRPr="0086580C">
        <w:rPr>
          <w:rtl/>
        </w:rPr>
        <w:t xml:space="preserve"> </w:t>
      </w:r>
    </w:p>
    <w:p w14:paraId="309D7B40" w14:textId="0A9C9B64" w:rsidR="00C80788" w:rsidRDefault="00C80788" w:rsidP="0086580C">
      <w:pPr>
        <w:pStyle w:val="Hesber"/>
        <w:rPr>
          <w:rtl/>
        </w:rPr>
      </w:pPr>
    </w:p>
    <w:p w14:paraId="4DB74345" w14:textId="77777777" w:rsidR="00C80788" w:rsidRDefault="00C80788" w:rsidP="0086580C">
      <w:pPr>
        <w:pStyle w:val="Hesber"/>
        <w:rPr>
          <w:rtl/>
        </w:rPr>
      </w:pPr>
      <w:bookmarkStart w:id="8" w:name="_GoBack"/>
      <w:bookmarkEnd w:id="8"/>
    </w:p>
    <w:p w14:paraId="31A59B44" w14:textId="77777777" w:rsidR="00C80788" w:rsidRPr="00D73212" w:rsidRDefault="00C80788" w:rsidP="00C80788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3942592B" w14:textId="77777777" w:rsidR="00C80788" w:rsidRPr="00D73212" w:rsidRDefault="00C80788" w:rsidP="00C80788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41639BD1" w14:textId="77777777" w:rsidR="00C80788" w:rsidRPr="00D73212" w:rsidRDefault="00C80788" w:rsidP="00C80788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55D688F" w14:textId="77777777" w:rsidR="00C80788" w:rsidRPr="00317312" w:rsidRDefault="00C80788" w:rsidP="00C80788">
      <w:pPr>
        <w:pStyle w:val="Hesber"/>
      </w:pPr>
      <w:r>
        <w:rPr>
          <w:rFonts w:hint="cs"/>
          <w:color w:val="auto"/>
          <w:rtl/>
          <w:lang w:eastAsia="en-US"/>
        </w:rPr>
        <w:t>כ"א בטבת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8.1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18</w:t>
      </w:r>
    </w:p>
    <w:p w14:paraId="3128570B" w14:textId="77777777" w:rsidR="00C80788" w:rsidRPr="00C80788" w:rsidRDefault="00C80788" w:rsidP="0086580C">
      <w:pPr>
        <w:pStyle w:val="Hesber"/>
        <w:rPr>
          <w:rtl/>
        </w:rPr>
      </w:pPr>
    </w:p>
    <w:p w14:paraId="13B88675" w14:textId="77777777" w:rsidR="00C80788" w:rsidRPr="0086580C" w:rsidRDefault="00C80788" w:rsidP="0086580C">
      <w:pPr>
        <w:pStyle w:val="Hesber"/>
        <w:rPr>
          <w:rtl/>
        </w:rPr>
      </w:pPr>
    </w:p>
    <w:p w14:paraId="7F6961CB" w14:textId="34620AF5" w:rsidR="00E13C27" w:rsidRPr="00FB1E98" w:rsidRDefault="00E13C27" w:rsidP="00FB1E98">
      <w:pPr>
        <w:pStyle w:val="Hesber"/>
        <w:rPr>
          <w:rtl/>
        </w:rPr>
      </w:pPr>
    </w:p>
    <w:sectPr w:rsidR="00E13C27" w:rsidRPr="00FB1E98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C80788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7292E89A" w14:textId="7054711F" w:rsidR="005F7DDE" w:rsidRDefault="005F7DDE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התשנ"ה, עמ'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35FD1"/>
    <w:rsid w:val="00063A3E"/>
    <w:rsid w:val="00072CAC"/>
    <w:rsid w:val="000735DA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85514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5F7DDE"/>
    <w:rsid w:val="0062674B"/>
    <w:rsid w:val="006363B2"/>
    <w:rsid w:val="00644940"/>
    <w:rsid w:val="006818A9"/>
    <w:rsid w:val="006A2D81"/>
    <w:rsid w:val="006B314F"/>
    <w:rsid w:val="006C1D0D"/>
    <w:rsid w:val="0070601E"/>
    <w:rsid w:val="00712C72"/>
    <w:rsid w:val="00721565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6580C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3B3B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52BD4"/>
    <w:rsid w:val="00B733A7"/>
    <w:rsid w:val="00B75C91"/>
    <w:rsid w:val="00B975AD"/>
    <w:rsid w:val="00BC45FB"/>
    <w:rsid w:val="00BF148D"/>
    <w:rsid w:val="00C153E8"/>
    <w:rsid w:val="00C23B1A"/>
    <w:rsid w:val="00C310EB"/>
    <w:rsid w:val="00C80788"/>
    <w:rsid w:val="00C9176A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806D-D4FA-43DC-95F3-177BE105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BF91E-7FB4-4A69-A59E-8B67CA00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341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9</cp:revision>
  <cp:lastPrinted>2018-01-04T07:43:00Z</cp:lastPrinted>
  <dcterms:created xsi:type="dcterms:W3CDTF">2015-04-20T09:58:00Z</dcterms:created>
  <dcterms:modified xsi:type="dcterms:W3CDTF">2018-01-04T07:43:00Z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2025282</vt:r8>
  </property>
</Properties>
</file>