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2025146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מיכאל מלכיאלי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ישראל אייכלר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בצלאל סמוטריץ'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פ/4958/20</w:t>
      </w:r>
      <w:bookmarkEnd w:id="6"/>
    </w:p>
    <w:p w14:paraId="7F6961AD" w14:textId="37023C40" w:rsidR="00E13C27" w:rsidRPr="00F67051" w:rsidRDefault="00A443CF" w:rsidP="00197E73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שיקים ללא כי</w:t>
      </w:r>
      <w:r w:rsidR="002A75C2">
        <w:rPr>
          <w:rFonts w:hint="cs"/>
          <w:rtl/>
        </w:rPr>
        <w:t>סוי (תיקון – פעימות חזרה, התראה</w:t>
      </w:r>
      <w:bookmarkStart w:id="8" w:name="_GoBack"/>
      <w:bookmarkEnd w:id="8"/>
      <w:r>
        <w:rPr>
          <w:rFonts w:hint="cs"/>
          <w:rtl/>
        </w:rPr>
        <w:t xml:space="preserve"> והסדרה), התשע"ח–2018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5898"/>
      </w:tblGrid>
      <w:tr w:rsidR="002F1D80" w14:paraId="035EEF3D" w14:textId="77777777" w:rsidTr="002C3041">
        <w:trPr>
          <w:cantSplit/>
          <w:trHeight w:val="60"/>
        </w:trPr>
        <w:tc>
          <w:tcPr>
            <w:tcW w:w="1871" w:type="dxa"/>
          </w:tcPr>
          <w:p w14:paraId="3863FF98" w14:textId="09637BFB" w:rsidR="002F1D80" w:rsidRPr="00736257" w:rsidRDefault="002549D5" w:rsidP="00A76FCD">
            <w:pPr>
              <w:pStyle w:val="TableSideHeading"/>
              <w:keepLines w:val="0"/>
              <w:rPr>
                <w:sz w:val="26"/>
              </w:rPr>
            </w:pPr>
            <w:r w:rsidRPr="00736257">
              <w:rPr>
                <w:rFonts w:ascii="David" w:hAnsi="David" w:hint="cs"/>
                <w:sz w:val="26"/>
                <w:rtl/>
              </w:rPr>
              <w:t>תיקון</w:t>
            </w:r>
            <w:r w:rsidRPr="00736257">
              <w:rPr>
                <w:rFonts w:ascii="David" w:hAnsi="David"/>
                <w:sz w:val="26"/>
                <w:rtl/>
              </w:rPr>
              <w:t xml:space="preserve"> סעיף </w:t>
            </w:r>
            <w:r w:rsidR="006E3F74" w:rsidRPr="00736257">
              <w:rPr>
                <w:rFonts w:ascii="David" w:hAnsi="David" w:hint="cs"/>
                <w:sz w:val="26"/>
                <w:rtl/>
              </w:rPr>
              <w:t>2</w:t>
            </w:r>
            <w:r w:rsidRPr="00736257">
              <w:rPr>
                <w:rFonts w:ascii="David" w:hAnsi="David" w:hint="cs"/>
                <w:sz w:val="26"/>
                <w:rtl/>
              </w:rPr>
              <w:t xml:space="preserve"> </w:t>
            </w:r>
          </w:p>
        </w:tc>
        <w:tc>
          <w:tcPr>
            <w:tcW w:w="624" w:type="dxa"/>
          </w:tcPr>
          <w:p w14:paraId="6F513EF6" w14:textId="61744F19" w:rsidR="002F1D80" w:rsidRPr="00736257" w:rsidRDefault="00197E73" w:rsidP="00197E73">
            <w:pPr>
              <w:pStyle w:val="TableText"/>
              <w:keepLines w:val="0"/>
              <w:rPr>
                <w:sz w:val="26"/>
              </w:rPr>
            </w:pPr>
            <w:r w:rsidRPr="00736257"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7146" w:type="dxa"/>
            <w:gridSpan w:val="3"/>
          </w:tcPr>
          <w:p w14:paraId="1AE94DEB" w14:textId="236A9E50" w:rsidR="002F1D80" w:rsidRPr="00736257" w:rsidRDefault="002549D5" w:rsidP="00A76FCD">
            <w:pPr>
              <w:pStyle w:val="TableBlock"/>
              <w:rPr>
                <w:rFonts w:asciiTheme="minorHAnsi" w:hAnsiTheme="minorHAnsi"/>
                <w:sz w:val="26"/>
              </w:rPr>
            </w:pPr>
            <w:r w:rsidRPr="00736257">
              <w:rPr>
                <w:rFonts w:ascii="David" w:hAnsi="David" w:hint="cs"/>
                <w:sz w:val="26"/>
                <w:rtl/>
              </w:rPr>
              <w:t>בחוק שיקים ללא כיסוי</w:t>
            </w:r>
            <w:r w:rsidRPr="00736257">
              <w:rPr>
                <w:rFonts w:ascii="David" w:hAnsi="David"/>
                <w:sz w:val="26"/>
                <w:rtl/>
              </w:rPr>
              <w:t xml:space="preserve">, </w:t>
            </w:r>
            <w:r w:rsidR="006E3F74" w:rsidRPr="00736257">
              <w:rPr>
                <w:rFonts w:ascii="David" w:hAnsi="David" w:hint="cs"/>
                <w:sz w:val="26"/>
                <w:rtl/>
              </w:rPr>
              <w:t>ה</w:t>
            </w:r>
            <w:r w:rsidRPr="00736257">
              <w:rPr>
                <w:rFonts w:ascii="David" w:hAnsi="David" w:hint="cs"/>
                <w:sz w:val="26"/>
                <w:rtl/>
              </w:rPr>
              <w:t>תשמ"א</w:t>
            </w:r>
            <w:r w:rsidR="00A76FCD">
              <w:rPr>
                <w:rFonts w:ascii="David" w:hAnsi="David" w:hint="eastAsia"/>
                <w:sz w:val="26"/>
                <w:rtl/>
              </w:rPr>
              <w:t>–</w:t>
            </w:r>
            <w:r w:rsidRPr="00736257">
              <w:rPr>
                <w:rFonts w:ascii="David" w:hAnsi="David" w:hint="cs"/>
                <w:sz w:val="26"/>
                <w:rtl/>
              </w:rPr>
              <w:t>1981</w:t>
            </w:r>
            <w:r w:rsidR="00C95391" w:rsidRPr="00736257">
              <w:rPr>
                <w:rStyle w:val="a5"/>
                <w:sz w:val="26"/>
                <w:rtl/>
              </w:rPr>
              <w:footnoteReference w:id="2"/>
            </w:r>
            <w:r w:rsidR="004C1730" w:rsidRPr="00736257">
              <w:rPr>
                <w:rFonts w:asciiTheme="minorHAnsi" w:hAnsiTheme="minorHAnsi" w:hint="cs"/>
                <w:sz w:val="26"/>
                <w:rtl/>
              </w:rPr>
              <w:t xml:space="preserve"> (להלן </w:t>
            </w:r>
            <w:r w:rsidR="004C1730" w:rsidRPr="00736257">
              <w:rPr>
                <w:rFonts w:asciiTheme="minorHAnsi" w:hAnsiTheme="minorHAnsi" w:hint="eastAsia"/>
                <w:sz w:val="26"/>
                <w:rtl/>
              </w:rPr>
              <w:t>–</w:t>
            </w:r>
            <w:r w:rsidR="004C1730" w:rsidRPr="00736257">
              <w:rPr>
                <w:rFonts w:asciiTheme="minorHAnsi" w:hAnsiTheme="minorHAnsi" w:hint="cs"/>
                <w:sz w:val="26"/>
                <w:rtl/>
              </w:rPr>
              <w:t xml:space="preserve"> החוק העיקרי)</w:t>
            </w:r>
            <w:r w:rsidR="00722E6D">
              <w:rPr>
                <w:rFonts w:asciiTheme="minorHAnsi" w:hAnsiTheme="minorHAnsi" w:hint="cs"/>
                <w:sz w:val="26"/>
                <w:rtl/>
              </w:rPr>
              <w:t>,</w:t>
            </w:r>
            <w:r w:rsidR="007103EB">
              <w:rPr>
                <w:rFonts w:asciiTheme="minorHAnsi" w:hAnsiTheme="minorHAnsi" w:hint="cs"/>
                <w:sz w:val="26"/>
                <w:rtl/>
              </w:rPr>
              <w:t xml:space="preserve"> בסעיף 2 </w:t>
            </w:r>
            <w:r w:rsidR="007103EB">
              <w:rPr>
                <w:rFonts w:asciiTheme="minorHAnsi" w:hAnsiTheme="minorHAnsi" w:hint="eastAsia"/>
                <w:sz w:val="26"/>
                <w:rtl/>
              </w:rPr>
              <w:t>–</w:t>
            </w:r>
          </w:p>
        </w:tc>
      </w:tr>
      <w:tr w:rsidR="007103EB" w14:paraId="7A1AAFEC" w14:textId="77777777" w:rsidTr="002C3041">
        <w:trPr>
          <w:cantSplit/>
          <w:trHeight w:val="60"/>
        </w:trPr>
        <w:tc>
          <w:tcPr>
            <w:tcW w:w="1871" w:type="dxa"/>
          </w:tcPr>
          <w:p w14:paraId="42D54988" w14:textId="77777777" w:rsidR="007103EB" w:rsidRPr="00736257" w:rsidRDefault="007103EB" w:rsidP="006E3F74">
            <w:pPr>
              <w:pStyle w:val="TableSideHeading"/>
              <w:keepLines w:val="0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24" w:type="dxa"/>
          </w:tcPr>
          <w:p w14:paraId="0B72B383" w14:textId="77777777" w:rsidR="007103EB" w:rsidRPr="00736257" w:rsidRDefault="007103EB" w:rsidP="00197E73">
            <w:pPr>
              <w:pStyle w:val="TableText"/>
              <w:keepLines w:val="0"/>
              <w:rPr>
                <w:sz w:val="26"/>
                <w:rtl/>
              </w:rPr>
            </w:pPr>
          </w:p>
        </w:tc>
        <w:tc>
          <w:tcPr>
            <w:tcW w:w="7146" w:type="dxa"/>
            <w:gridSpan w:val="3"/>
          </w:tcPr>
          <w:p w14:paraId="4A5D588B" w14:textId="4032DAE9" w:rsidR="007103EB" w:rsidRDefault="007103EB" w:rsidP="00722E6D">
            <w:pPr>
              <w:pStyle w:val="TableBlock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(</w:t>
            </w:r>
            <w:r w:rsidR="00B852C4">
              <w:rPr>
                <w:rFonts w:ascii="David" w:hAnsi="David" w:hint="cs"/>
                <w:sz w:val="26"/>
                <w:rtl/>
              </w:rPr>
              <w:t>1</w:t>
            </w:r>
            <w:r>
              <w:rPr>
                <w:rFonts w:ascii="David" w:hAnsi="David" w:hint="cs"/>
                <w:sz w:val="26"/>
                <w:rtl/>
              </w:rPr>
              <w:t>)</w:t>
            </w:r>
            <w:r>
              <w:rPr>
                <w:rFonts w:ascii="David" w:hAnsi="David"/>
                <w:sz w:val="26"/>
                <w:rtl/>
              </w:rPr>
              <w:tab/>
            </w:r>
            <w:r w:rsidRPr="00736257">
              <w:rPr>
                <w:rFonts w:asciiTheme="minorHAnsi" w:hAnsiTheme="minorHAnsi" w:hint="cs"/>
                <w:sz w:val="26"/>
                <w:rtl/>
              </w:rPr>
              <w:t xml:space="preserve">בסעיף קטן (א), אחרי "(להלן </w:t>
            </w:r>
            <w:r w:rsidRPr="00736257">
              <w:rPr>
                <w:rFonts w:asciiTheme="minorHAnsi" w:hAnsiTheme="minorHAnsi" w:hint="eastAsia"/>
                <w:sz w:val="26"/>
                <w:rtl/>
              </w:rPr>
              <w:t>– לקוח מוגבל</w:t>
            </w:r>
            <w:r w:rsidRPr="00736257">
              <w:rPr>
                <w:rFonts w:asciiTheme="minorHAnsi" w:hAnsiTheme="minorHAnsi" w:hint="cs"/>
                <w:sz w:val="26"/>
                <w:rtl/>
              </w:rPr>
              <w:t>)" יבוא "אם התקיימו התנאים הבאים:</w:t>
            </w:r>
          </w:p>
        </w:tc>
      </w:tr>
      <w:tr w:rsidR="00A76FCD" w14:paraId="259650F0" w14:textId="77777777">
        <w:trPr>
          <w:cantSplit/>
          <w:trHeight w:val="60"/>
        </w:trPr>
        <w:tc>
          <w:tcPr>
            <w:tcW w:w="1871" w:type="dxa"/>
          </w:tcPr>
          <w:p w14:paraId="3CED6AC5" w14:textId="77777777" w:rsidR="00A76FCD" w:rsidRDefault="00A76FCD">
            <w:pPr>
              <w:pStyle w:val="TableSideHeading"/>
            </w:pPr>
          </w:p>
        </w:tc>
        <w:tc>
          <w:tcPr>
            <w:tcW w:w="624" w:type="dxa"/>
          </w:tcPr>
          <w:p w14:paraId="7B25CC6C" w14:textId="77777777" w:rsidR="00A76FCD" w:rsidRDefault="00A76FCD">
            <w:pPr>
              <w:pStyle w:val="TableText"/>
            </w:pPr>
          </w:p>
        </w:tc>
        <w:tc>
          <w:tcPr>
            <w:tcW w:w="624" w:type="dxa"/>
          </w:tcPr>
          <w:p w14:paraId="742048A9" w14:textId="77777777" w:rsidR="00A76FCD" w:rsidRDefault="00A76FCD">
            <w:pPr>
              <w:pStyle w:val="TableText"/>
            </w:pPr>
          </w:p>
        </w:tc>
        <w:tc>
          <w:tcPr>
            <w:tcW w:w="624" w:type="dxa"/>
          </w:tcPr>
          <w:p w14:paraId="15907E4C" w14:textId="14E96477" w:rsidR="00A76FCD" w:rsidRDefault="00A76FCD">
            <w:pPr>
              <w:pStyle w:val="TableText"/>
            </w:pPr>
            <w:r w:rsidRPr="00736257">
              <w:rPr>
                <w:rFonts w:asciiTheme="minorHAnsi" w:hAnsiTheme="minorHAnsi" w:hint="cs"/>
                <w:sz w:val="26"/>
                <w:rtl/>
              </w:rPr>
              <w:t>(1)</w:t>
            </w:r>
          </w:p>
        </w:tc>
        <w:tc>
          <w:tcPr>
            <w:tcW w:w="5898" w:type="dxa"/>
          </w:tcPr>
          <w:p w14:paraId="6349E9AC" w14:textId="596396AF" w:rsidR="00A76FCD" w:rsidRDefault="00A76FCD" w:rsidP="00722E6D">
            <w:pPr>
              <w:pStyle w:val="TableBlock"/>
            </w:pPr>
            <w:r w:rsidRPr="00736257">
              <w:rPr>
                <w:rFonts w:asciiTheme="minorHAnsi" w:hAnsiTheme="minorHAnsi" w:hint="cs"/>
                <w:sz w:val="26"/>
                <w:rtl/>
              </w:rPr>
              <w:t>סורבו במשך שנים עשר ח</w:t>
            </w:r>
            <w:r>
              <w:rPr>
                <w:rFonts w:asciiTheme="minorHAnsi" w:hAnsiTheme="minorHAnsi" w:hint="cs"/>
                <w:sz w:val="26"/>
                <w:rtl/>
              </w:rPr>
              <w:t>ו</w:t>
            </w:r>
            <w:r w:rsidRPr="00736257">
              <w:rPr>
                <w:rFonts w:asciiTheme="minorHAnsi" w:hAnsiTheme="minorHAnsi" w:hint="cs"/>
                <w:sz w:val="26"/>
                <w:rtl/>
              </w:rPr>
              <w:t xml:space="preserve">דשים עשרה שיקים או יותר שנמשכו על החשבון, ובלבד שעברו לפחות </w:t>
            </w:r>
            <w:r w:rsidR="00722E6D">
              <w:rPr>
                <w:rFonts w:asciiTheme="minorHAnsi" w:hAnsiTheme="minorHAnsi" w:hint="cs"/>
                <w:sz w:val="26"/>
                <w:rtl/>
              </w:rPr>
              <w:t>חמישה עשר</w:t>
            </w:r>
            <w:r w:rsidRPr="00736257">
              <w:rPr>
                <w:rFonts w:asciiTheme="minorHAnsi" w:hAnsiTheme="minorHAnsi" w:hint="cs"/>
                <w:sz w:val="26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6"/>
                <w:rtl/>
              </w:rPr>
              <w:t>ימים</w:t>
            </w:r>
            <w:r w:rsidRPr="00736257">
              <w:rPr>
                <w:rFonts w:asciiTheme="minorHAnsi" w:hAnsiTheme="minorHAnsi" w:hint="cs"/>
                <w:sz w:val="26"/>
                <w:rtl/>
              </w:rPr>
              <w:t xml:space="preserve"> בין הסירוב הראשון לסירוב האחרון</w:t>
            </w:r>
            <w:r w:rsidRPr="00736257">
              <w:rPr>
                <w:rFonts w:hint="cs"/>
                <w:sz w:val="26"/>
                <w:rtl/>
              </w:rPr>
              <w:t>;</w:t>
            </w:r>
          </w:p>
        </w:tc>
      </w:tr>
      <w:tr w:rsidR="00A76FCD" w14:paraId="1EDA50E0" w14:textId="77777777">
        <w:trPr>
          <w:cantSplit/>
          <w:trHeight w:val="60"/>
        </w:trPr>
        <w:tc>
          <w:tcPr>
            <w:tcW w:w="1871" w:type="dxa"/>
          </w:tcPr>
          <w:p w14:paraId="5022EB62" w14:textId="34FD90E3" w:rsidR="00A76FCD" w:rsidRDefault="00A76FCD" w:rsidP="00A76FC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66ACE4C4" w14:textId="77777777" w:rsidR="00A76FCD" w:rsidRDefault="00A76FCD" w:rsidP="00A76FCD">
            <w:pPr>
              <w:pStyle w:val="TableText"/>
            </w:pPr>
          </w:p>
        </w:tc>
        <w:tc>
          <w:tcPr>
            <w:tcW w:w="624" w:type="dxa"/>
          </w:tcPr>
          <w:p w14:paraId="11D12F10" w14:textId="77777777" w:rsidR="00A76FCD" w:rsidRDefault="00A76FCD" w:rsidP="00A76FCD">
            <w:pPr>
              <w:pStyle w:val="TableText"/>
            </w:pPr>
          </w:p>
        </w:tc>
        <w:tc>
          <w:tcPr>
            <w:tcW w:w="624" w:type="dxa"/>
          </w:tcPr>
          <w:p w14:paraId="210735F5" w14:textId="49484199" w:rsidR="00A76FCD" w:rsidRPr="00736257" w:rsidRDefault="00A76FCD" w:rsidP="00A76FCD">
            <w:pPr>
              <w:pStyle w:val="TableText"/>
              <w:rPr>
                <w:rFonts w:asciiTheme="minorHAnsi" w:hAnsiTheme="minorHAnsi"/>
                <w:sz w:val="26"/>
                <w:rtl/>
              </w:rPr>
            </w:pPr>
            <w:r w:rsidRPr="00736257">
              <w:rPr>
                <w:rFonts w:asciiTheme="minorHAnsi" w:hAnsiTheme="minorHAnsi" w:hint="cs"/>
                <w:sz w:val="26"/>
                <w:rtl/>
              </w:rPr>
              <w:t>(2)</w:t>
            </w:r>
          </w:p>
        </w:tc>
        <w:tc>
          <w:tcPr>
            <w:tcW w:w="5898" w:type="dxa"/>
          </w:tcPr>
          <w:p w14:paraId="2CADB3E0" w14:textId="4C174D4E" w:rsidR="00A76FCD" w:rsidRDefault="00A76FCD" w:rsidP="00A76FCD">
            <w:pPr>
              <w:pStyle w:val="TableBlock"/>
              <w:rPr>
                <w:rFonts w:asciiTheme="minorHAnsi" w:hAnsiTheme="minorHAnsi"/>
                <w:sz w:val="26"/>
                <w:rtl/>
              </w:rPr>
            </w:pPr>
            <w:r w:rsidRPr="00736257">
              <w:rPr>
                <w:rFonts w:asciiTheme="minorHAnsi" w:hAnsiTheme="minorHAnsi" w:hint="cs"/>
                <w:sz w:val="26"/>
                <w:rtl/>
              </w:rPr>
              <w:t>הבנק שלח התראה על התקיימות התנאים האמורים בפסקה (1);</w:t>
            </w:r>
          </w:p>
        </w:tc>
      </w:tr>
      <w:tr w:rsidR="00A76FCD" w14:paraId="55AB875A" w14:textId="77777777">
        <w:trPr>
          <w:cantSplit/>
          <w:trHeight w:val="60"/>
        </w:trPr>
        <w:tc>
          <w:tcPr>
            <w:tcW w:w="1871" w:type="dxa"/>
          </w:tcPr>
          <w:p w14:paraId="670376F8" w14:textId="2FB8706D" w:rsidR="00A76FCD" w:rsidRDefault="00A76FCD" w:rsidP="00A76FC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AF7F75E" w14:textId="77777777" w:rsidR="00A76FCD" w:rsidRDefault="00A76FCD" w:rsidP="00A76FCD">
            <w:pPr>
              <w:pStyle w:val="TableText"/>
            </w:pPr>
          </w:p>
        </w:tc>
        <w:tc>
          <w:tcPr>
            <w:tcW w:w="624" w:type="dxa"/>
          </w:tcPr>
          <w:p w14:paraId="65D97A82" w14:textId="77777777" w:rsidR="00A76FCD" w:rsidRDefault="00A76FCD" w:rsidP="00A76FCD">
            <w:pPr>
              <w:pStyle w:val="TableText"/>
            </w:pPr>
          </w:p>
        </w:tc>
        <w:tc>
          <w:tcPr>
            <w:tcW w:w="624" w:type="dxa"/>
          </w:tcPr>
          <w:p w14:paraId="633DB141" w14:textId="764A7DC8" w:rsidR="00A76FCD" w:rsidRPr="00736257" w:rsidRDefault="00A76FCD" w:rsidP="00A76FCD">
            <w:pPr>
              <w:pStyle w:val="TableText"/>
              <w:rPr>
                <w:rFonts w:asciiTheme="minorHAnsi" w:hAnsiTheme="minorHAnsi"/>
                <w:sz w:val="26"/>
                <w:rtl/>
              </w:rPr>
            </w:pPr>
            <w:r w:rsidRPr="00736257">
              <w:rPr>
                <w:rFonts w:asciiTheme="minorHAnsi" w:hAnsiTheme="minorHAnsi" w:hint="cs"/>
                <w:sz w:val="26"/>
                <w:rtl/>
              </w:rPr>
              <w:t>(3)</w:t>
            </w:r>
          </w:p>
        </w:tc>
        <w:tc>
          <w:tcPr>
            <w:tcW w:w="5898" w:type="dxa"/>
          </w:tcPr>
          <w:p w14:paraId="50C5F742" w14:textId="089460D8" w:rsidR="00A76FCD" w:rsidRDefault="00A76FCD" w:rsidP="00A76FCD">
            <w:pPr>
              <w:pStyle w:val="TableBlock"/>
              <w:rPr>
                <w:rFonts w:asciiTheme="minorHAnsi" w:hAnsiTheme="minorHAnsi"/>
                <w:sz w:val="26"/>
                <w:rtl/>
              </w:rPr>
            </w:pPr>
            <w:r w:rsidRPr="00736257">
              <w:rPr>
                <w:rFonts w:ascii="David" w:hAnsi="David" w:hint="cs"/>
                <w:sz w:val="26"/>
                <w:rtl/>
              </w:rPr>
              <w:t xml:space="preserve">סורב שיק נוסף על החשבון לפחות </w:t>
            </w:r>
            <w:r>
              <w:rPr>
                <w:rFonts w:ascii="David" w:hAnsi="David" w:hint="cs"/>
                <w:sz w:val="26"/>
                <w:rtl/>
              </w:rPr>
              <w:t>15</w:t>
            </w:r>
            <w:r w:rsidRPr="00736257">
              <w:rPr>
                <w:rFonts w:ascii="David" w:hAnsi="David" w:hint="cs"/>
                <w:sz w:val="26"/>
                <w:rtl/>
              </w:rPr>
              <w:t xml:space="preserve"> ימים לאחר מתן ההתראה </w:t>
            </w:r>
            <w:r>
              <w:rPr>
                <w:rFonts w:ascii="David" w:hAnsi="David" w:hint="cs"/>
                <w:sz w:val="26"/>
                <w:rtl/>
              </w:rPr>
              <w:t>כ</w:t>
            </w:r>
            <w:r w:rsidRPr="00736257">
              <w:rPr>
                <w:rFonts w:ascii="David" w:hAnsi="David" w:hint="cs"/>
                <w:sz w:val="26"/>
                <w:rtl/>
              </w:rPr>
              <w:t>אמור בפסקה (2);</w:t>
            </w:r>
          </w:p>
        </w:tc>
      </w:tr>
      <w:tr w:rsidR="00A76FCD" w14:paraId="2DCCFA10" w14:textId="77777777">
        <w:trPr>
          <w:cantSplit/>
          <w:trHeight w:val="60"/>
        </w:trPr>
        <w:tc>
          <w:tcPr>
            <w:tcW w:w="1871" w:type="dxa"/>
          </w:tcPr>
          <w:p w14:paraId="6F9071C7" w14:textId="55CCEAAB" w:rsidR="00A76FCD" w:rsidRDefault="00A76FCD" w:rsidP="00A76FC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369E3D8" w14:textId="77777777" w:rsidR="00A76FCD" w:rsidRDefault="00A76FCD" w:rsidP="00A76FCD">
            <w:pPr>
              <w:pStyle w:val="TableText"/>
            </w:pPr>
          </w:p>
        </w:tc>
        <w:tc>
          <w:tcPr>
            <w:tcW w:w="624" w:type="dxa"/>
          </w:tcPr>
          <w:p w14:paraId="60569562" w14:textId="77777777" w:rsidR="00A76FCD" w:rsidRDefault="00A76FCD" w:rsidP="00A76FCD">
            <w:pPr>
              <w:pStyle w:val="TableText"/>
            </w:pPr>
          </w:p>
        </w:tc>
        <w:tc>
          <w:tcPr>
            <w:tcW w:w="624" w:type="dxa"/>
          </w:tcPr>
          <w:p w14:paraId="74ADA81D" w14:textId="3A4F7C45" w:rsidR="00A76FCD" w:rsidRPr="00736257" w:rsidRDefault="00A76FCD" w:rsidP="00A76FCD">
            <w:pPr>
              <w:pStyle w:val="TableText"/>
              <w:rPr>
                <w:rFonts w:asciiTheme="minorHAnsi" w:hAnsiTheme="minorHAnsi"/>
                <w:sz w:val="26"/>
                <w:rtl/>
              </w:rPr>
            </w:pPr>
            <w:r w:rsidRPr="00736257">
              <w:rPr>
                <w:rFonts w:asciiTheme="minorHAnsi" w:hAnsiTheme="minorHAnsi" w:hint="cs"/>
                <w:sz w:val="26"/>
                <w:rtl/>
              </w:rPr>
              <w:t>(4)</w:t>
            </w:r>
          </w:p>
        </w:tc>
        <w:tc>
          <w:tcPr>
            <w:tcW w:w="5898" w:type="dxa"/>
          </w:tcPr>
          <w:p w14:paraId="451766BB" w14:textId="3DD7B75B" w:rsidR="00A76FCD" w:rsidRPr="00736257" w:rsidRDefault="00A76FCD" w:rsidP="00A76FCD">
            <w:pPr>
              <w:pStyle w:val="TableBlock"/>
              <w:rPr>
                <w:rFonts w:asciiTheme="minorHAnsi" w:hAnsiTheme="minorHAnsi"/>
                <w:sz w:val="26"/>
                <w:rtl/>
              </w:rPr>
            </w:pPr>
            <w:r w:rsidRPr="00D03AA0">
              <w:rPr>
                <w:rFonts w:hint="cs"/>
                <w:rtl/>
              </w:rPr>
              <w:t>ניתנה התראה נוספת על סירוב כאמור בפסקה (3)</w:t>
            </w:r>
            <w:r>
              <w:rPr>
                <w:rFonts w:hint="cs"/>
                <w:rtl/>
              </w:rPr>
              <w:t>,</w:t>
            </w:r>
            <w:r w:rsidRPr="00D03AA0">
              <w:rPr>
                <w:rFonts w:hint="cs"/>
                <w:rtl/>
              </w:rPr>
              <w:t xml:space="preserve"> </w:t>
            </w:r>
            <w:r w:rsidRPr="00D03AA0">
              <w:rPr>
                <w:rtl/>
              </w:rPr>
              <w:t xml:space="preserve">בה </w:t>
            </w:r>
            <w:r>
              <w:rPr>
                <w:rFonts w:hint="cs"/>
                <w:rtl/>
              </w:rPr>
              <w:t xml:space="preserve">מסר הבנק </w:t>
            </w:r>
            <w:r w:rsidRPr="00D03AA0">
              <w:rPr>
                <w:rtl/>
              </w:rPr>
              <w:t>כי על בעל החשבון להסדיר את חובו תוך שבעה ימים ולא, יהיה הלקוח או החשבון מוגבלים</w:t>
            </w:r>
            <w:r w:rsidRPr="00D03AA0">
              <w:rPr>
                <w:rFonts w:hint="cs"/>
                <w:rtl/>
              </w:rPr>
              <w:t>, ולא הסדיר בעל החשבון את חובו תוך שבעה ימים ממועד ההתראה</w:t>
            </w:r>
            <w:r w:rsidRPr="00736257">
              <w:rPr>
                <w:rFonts w:ascii="David" w:hAnsi="David" w:hint="cs"/>
                <w:sz w:val="26"/>
                <w:rtl/>
              </w:rPr>
              <w:t xml:space="preserve"> כאמור."</w:t>
            </w:r>
            <w:r>
              <w:rPr>
                <w:rFonts w:ascii="David" w:hAnsi="David" w:hint="cs"/>
                <w:sz w:val="26"/>
                <w:rtl/>
              </w:rPr>
              <w:t>;</w:t>
            </w:r>
          </w:p>
        </w:tc>
      </w:tr>
      <w:tr w:rsidR="00A76FCD" w14:paraId="1EEA14F3" w14:textId="77777777" w:rsidTr="00C14112">
        <w:trPr>
          <w:cantSplit/>
          <w:trHeight w:val="60"/>
        </w:trPr>
        <w:tc>
          <w:tcPr>
            <w:tcW w:w="1871" w:type="dxa"/>
          </w:tcPr>
          <w:p w14:paraId="0A8D40AE" w14:textId="748A4714" w:rsidR="00A76FCD" w:rsidRPr="00736257" w:rsidRDefault="00A76FCD" w:rsidP="00A76FCD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67F7099B" w14:textId="47E51CF0" w:rsidR="00A76FCD" w:rsidRPr="00736257" w:rsidRDefault="00A76FCD" w:rsidP="00A76FCD">
            <w:pPr>
              <w:pStyle w:val="TableText"/>
              <w:rPr>
                <w:sz w:val="26"/>
              </w:rPr>
            </w:pPr>
          </w:p>
        </w:tc>
        <w:tc>
          <w:tcPr>
            <w:tcW w:w="7146" w:type="dxa"/>
            <w:gridSpan w:val="3"/>
          </w:tcPr>
          <w:p w14:paraId="10C2DECD" w14:textId="56640903" w:rsidR="00A76FCD" w:rsidRPr="00736257" w:rsidRDefault="00A76FCD" w:rsidP="00A76FCD">
            <w:pPr>
              <w:pStyle w:val="TableBlock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(2)</w:t>
            </w:r>
            <w:r>
              <w:rPr>
                <w:rFonts w:ascii="David" w:hAnsi="David"/>
                <w:sz w:val="26"/>
                <w:rtl/>
              </w:rPr>
              <w:tab/>
            </w:r>
            <w:r w:rsidRPr="00736257">
              <w:rPr>
                <w:rFonts w:ascii="David" w:hAnsi="David" w:hint="cs"/>
                <w:sz w:val="26"/>
                <w:rtl/>
              </w:rPr>
              <w:t>בסעיף קטן (א1)</w:t>
            </w:r>
            <w:r>
              <w:rPr>
                <w:rFonts w:ascii="David" w:hAnsi="David" w:hint="cs"/>
                <w:sz w:val="26"/>
                <w:rtl/>
              </w:rPr>
              <w:t>,</w:t>
            </w:r>
            <w:r w:rsidRPr="00736257">
              <w:rPr>
                <w:rFonts w:ascii="David" w:hAnsi="David" w:hint="cs"/>
                <w:sz w:val="26"/>
                <w:rtl/>
              </w:rPr>
              <w:t xml:space="preserve"> בסופו יבוא "בדבר התנהלותם הבעייתית בחשבון העלולה להביא להגבלת החשבון".</w:t>
            </w:r>
          </w:p>
        </w:tc>
      </w:tr>
    </w:tbl>
    <w:p w14:paraId="7F6961CA" w14:textId="113115DB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CA43197" w14:textId="58CBA4A9" w:rsidR="00C95391" w:rsidRPr="00C95391" w:rsidRDefault="002549D5" w:rsidP="00A76FCD">
      <w:pPr>
        <w:pStyle w:val="Hesber"/>
        <w:rPr>
          <w:rtl/>
        </w:rPr>
      </w:pPr>
      <w:r w:rsidRPr="00C95391">
        <w:rPr>
          <w:rFonts w:hint="cs"/>
          <w:rtl/>
        </w:rPr>
        <w:t>כל אדם באשר הוא זכאי להגנה על כבודו</w:t>
      </w:r>
      <w:r w:rsidR="00C95391">
        <w:rPr>
          <w:rFonts w:hint="cs"/>
          <w:rtl/>
        </w:rPr>
        <w:t>,</w:t>
      </w:r>
      <w:r w:rsidRPr="00C95391">
        <w:rPr>
          <w:rFonts w:hint="cs"/>
          <w:rtl/>
        </w:rPr>
        <w:t xml:space="preserve"> חירותו וקניינו</w:t>
      </w:r>
      <w:r w:rsidR="00A76FCD">
        <w:rPr>
          <w:rFonts w:hint="cs"/>
          <w:rtl/>
        </w:rPr>
        <w:t xml:space="preserve"> </w:t>
      </w:r>
      <w:r w:rsidR="00A76FCD">
        <w:rPr>
          <w:rFonts w:hint="eastAsia"/>
          <w:rtl/>
        </w:rPr>
        <w:t>–</w:t>
      </w:r>
      <w:r w:rsidR="00A76FCD">
        <w:rPr>
          <w:rFonts w:hint="cs"/>
          <w:rtl/>
        </w:rPr>
        <w:t xml:space="preserve"> </w:t>
      </w:r>
      <w:r w:rsidRPr="00C95391">
        <w:rPr>
          <w:rFonts w:hint="cs"/>
          <w:rtl/>
        </w:rPr>
        <w:t>זכויות חוקתיות מהמעלה הראשונה המעוגנות בחוקי יסוד, והמבטאות את ערכיה של מדינת ישראל כמדינה יהודית ודמוקרטית.</w:t>
      </w:r>
    </w:p>
    <w:p w14:paraId="65EDE3D2" w14:textId="20DF2FA3" w:rsidR="002549D5" w:rsidRPr="00C95391" w:rsidRDefault="002549D5" w:rsidP="00B60D09">
      <w:pPr>
        <w:pStyle w:val="Hesber"/>
      </w:pPr>
      <w:r w:rsidRPr="00C95391">
        <w:rPr>
          <w:rFonts w:hint="cs"/>
          <w:rtl/>
        </w:rPr>
        <w:lastRenderedPageBreak/>
        <w:t>פגיעה בזכויות אלו נעשית במקרים קיצוניים</w:t>
      </w:r>
      <w:r w:rsidR="00C95391">
        <w:rPr>
          <w:rFonts w:hint="cs"/>
          <w:rtl/>
        </w:rPr>
        <w:t>,</w:t>
      </w:r>
      <w:r w:rsidRPr="00C95391">
        <w:rPr>
          <w:rFonts w:hint="cs"/>
          <w:rtl/>
        </w:rPr>
        <w:t xml:space="preserve"> תוך דרישה לעמידה בכללים נוקשים וברורים, כשהמסגרת לכך הי</w:t>
      </w:r>
      <w:r w:rsidR="00B60D09">
        <w:rPr>
          <w:rFonts w:hint="cs"/>
          <w:rtl/>
        </w:rPr>
        <w:t>א</w:t>
      </w:r>
      <w:r w:rsidRPr="00C95391">
        <w:rPr>
          <w:rFonts w:hint="cs"/>
          <w:rtl/>
        </w:rPr>
        <w:t xml:space="preserve"> בחוק ההולם את ערכיה של מדינת ישראל, שנועד לתכלית ראויה, ובמידה שאינה עולה על הנדרש.</w:t>
      </w:r>
    </w:p>
    <w:p w14:paraId="7249EC14" w14:textId="1778DAA3" w:rsidR="002549D5" w:rsidRPr="00C95391" w:rsidRDefault="002549D5" w:rsidP="00C95391">
      <w:pPr>
        <w:pStyle w:val="Hesber"/>
      </w:pPr>
      <w:r w:rsidRPr="00C95391">
        <w:rPr>
          <w:rFonts w:hint="cs"/>
          <w:rtl/>
        </w:rPr>
        <w:t>חוק שיקים ללא כיסוי,</w:t>
      </w:r>
      <w:r w:rsidR="00C95391">
        <w:rPr>
          <w:rFonts w:hint="cs"/>
          <w:rtl/>
        </w:rPr>
        <w:t xml:space="preserve"> ה</w:t>
      </w:r>
      <w:r w:rsidRPr="00C95391">
        <w:rPr>
          <w:rFonts w:hint="cs"/>
          <w:rtl/>
        </w:rPr>
        <w:t>תשמ"א</w:t>
      </w:r>
      <w:r w:rsidRPr="00C95391">
        <w:rPr>
          <w:rtl/>
        </w:rPr>
        <w:t>–</w:t>
      </w:r>
      <w:r w:rsidR="00C95391">
        <w:rPr>
          <w:rFonts w:hint="cs"/>
          <w:rtl/>
        </w:rPr>
        <w:t>1981</w:t>
      </w:r>
      <w:r w:rsidR="00A76FCD">
        <w:rPr>
          <w:rFonts w:hint="cs"/>
          <w:rtl/>
        </w:rPr>
        <w:t>,</w:t>
      </w:r>
      <w:r w:rsidRPr="00C95391">
        <w:rPr>
          <w:rFonts w:hint="cs"/>
          <w:rtl/>
        </w:rPr>
        <w:t xml:space="preserve"> </w:t>
      </w:r>
      <w:r w:rsidR="00C95391">
        <w:rPr>
          <w:rFonts w:hint="cs"/>
          <w:rtl/>
        </w:rPr>
        <w:t xml:space="preserve">קובע בסעיף 2 כי חשבון יהיה מוגבל (להלן </w:t>
      </w:r>
      <w:r w:rsidR="00C95391">
        <w:rPr>
          <w:rFonts w:hint="eastAsia"/>
          <w:rtl/>
        </w:rPr>
        <w:t>–</w:t>
      </w:r>
      <w:r w:rsidR="00C95391">
        <w:rPr>
          <w:rFonts w:hint="cs"/>
          <w:rtl/>
        </w:rPr>
        <w:t xml:space="preserve"> </w:t>
      </w:r>
      <w:r w:rsidRPr="00C95391">
        <w:rPr>
          <w:rFonts w:hint="cs"/>
          <w:rtl/>
        </w:rPr>
        <w:t>חשבון מוגבל) ובעליו יהיה מוגבל (</w:t>
      </w:r>
      <w:r w:rsidR="00C95391">
        <w:rPr>
          <w:rFonts w:hint="cs"/>
          <w:rtl/>
        </w:rPr>
        <w:t xml:space="preserve">להלן </w:t>
      </w:r>
      <w:r w:rsidR="00C95391">
        <w:rPr>
          <w:rFonts w:hint="eastAsia"/>
          <w:rtl/>
        </w:rPr>
        <w:t>–</w:t>
      </w:r>
      <w:r w:rsidR="00C95391">
        <w:rPr>
          <w:rFonts w:hint="cs"/>
          <w:rtl/>
        </w:rPr>
        <w:t xml:space="preserve"> </w:t>
      </w:r>
      <w:r w:rsidRPr="00C95391">
        <w:rPr>
          <w:rFonts w:hint="cs"/>
          <w:rtl/>
        </w:rPr>
        <w:t xml:space="preserve">לקוח מוגבל), אם סורבו במשך שנים עשר חודשים עשרה שיקים או יותר שנמשכו על החשבון, ובלבד שעברו לפחות חמישה עשר ימים בין הסירוב הראשון לאחרון. </w:t>
      </w:r>
    </w:p>
    <w:p w14:paraId="18F2BC4B" w14:textId="643E8C33" w:rsidR="002549D5" w:rsidRPr="00C95391" w:rsidRDefault="00B60D09" w:rsidP="00B60D09">
      <w:pPr>
        <w:pStyle w:val="Hesber"/>
      </w:pPr>
      <w:r>
        <w:rPr>
          <w:rFonts w:hint="cs"/>
          <w:rtl/>
        </w:rPr>
        <w:t>בהתאם לכך, באופן עקרוני,</w:t>
      </w:r>
      <w:r w:rsidR="002549D5" w:rsidRPr="00C95391">
        <w:rPr>
          <w:rFonts w:hint="cs"/>
          <w:rtl/>
        </w:rPr>
        <w:t xml:space="preserve"> אדם אשר משכורתו לא</w:t>
      </w:r>
      <w:r w:rsidR="00C95391">
        <w:rPr>
          <w:rFonts w:hint="cs"/>
          <w:rtl/>
        </w:rPr>
        <w:t xml:space="preserve"> שולמה בזמן וכפועל יוצא חזרו לו תשעה </w:t>
      </w:r>
      <w:r w:rsidR="002549D5" w:rsidRPr="00C95391">
        <w:rPr>
          <w:rFonts w:hint="cs"/>
          <w:rtl/>
        </w:rPr>
        <w:t xml:space="preserve">שיקים ביום אחד, ומסיבה כלשהיא במהלך שנים עשר החודשים הבאים חזר לו שיק נוסף בהפרש 15 ימים, </w:t>
      </w:r>
      <w:r>
        <w:rPr>
          <w:rFonts w:hint="cs"/>
          <w:rtl/>
        </w:rPr>
        <w:t>הוא</w:t>
      </w:r>
      <w:r w:rsidR="002549D5" w:rsidRPr="00C95391">
        <w:rPr>
          <w:rFonts w:hint="cs"/>
          <w:rtl/>
        </w:rPr>
        <w:t xml:space="preserve"> </w:t>
      </w:r>
      <w:r w:rsidR="00C95391">
        <w:rPr>
          <w:rFonts w:hint="cs"/>
          <w:rtl/>
        </w:rPr>
        <w:t>"לקוח מוגבל"</w:t>
      </w:r>
      <w:r w:rsidR="002549D5" w:rsidRPr="00C95391">
        <w:rPr>
          <w:rFonts w:hint="cs"/>
          <w:rtl/>
        </w:rPr>
        <w:t>.</w:t>
      </w:r>
    </w:p>
    <w:p w14:paraId="332E5AFE" w14:textId="0D7C92E9" w:rsidR="002549D5" w:rsidRPr="00C95391" w:rsidRDefault="00C95391" w:rsidP="00C95391">
      <w:pPr>
        <w:pStyle w:val="Hesber"/>
      </w:pPr>
      <w:r>
        <w:rPr>
          <w:rFonts w:hint="cs"/>
          <w:rtl/>
        </w:rPr>
        <w:t xml:space="preserve">במקרה של </w:t>
      </w:r>
      <w:r w:rsidR="002549D5" w:rsidRPr="00C95391">
        <w:rPr>
          <w:rFonts w:hint="cs"/>
          <w:rtl/>
        </w:rPr>
        <w:t>חשבון</w:t>
      </w:r>
      <w:r>
        <w:rPr>
          <w:rFonts w:hint="cs"/>
          <w:rtl/>
        </w:rPr>
        <w:t xml:space="preserve"> </w:t>
      </w:r>
      <w:r w:rsidR="002549D5" w:rsidRPr="00C95391">
        <w:rPr>
          <w:rFonts w:hint="cs"/>
          <w:rtl/>
        </w:rPr>
        <w:t>או לקוח מוגבל, יודיע הבנק בכתב על כך למפקח על הבנקים לבעל החשבון ולמורשה החתימה, המפקח יודיע לכל הבנקים על היותו של החשבון</w:t>
      </w:r>
      <w:r>
        <w:rPr>
          <w:rFonts w:hint="cs"/>
          <w:rtl/>
        </w:rPr>
        <w:t xml:space="preserve"> </w:t>
      </w:r>
      <w:r w:rsidR="002549D5" w:rsidRPr="00C95391">
        <w:rPr>
          <w:rFonts w:hint="cs"/>
          <w:rtl/>
        </w:rPr>
        <w:t xml:space="preserve">או הלקוח </w:t>
      </w:r>
      <w:r>
        <w:rPr>
          <w:rFonts w:hint="cs"/>
          <w:rtl/>
        </w:rPr>
        <w:t>"</w:t>
      </w:r>
      <w:r w:rsidR="002549D5" w:rsidRPr="00C95391">
        <w:rPr>
          <w:rFonts w:hint="cs"/>
          <w:rtl/>
        </w:rPr>
        <w:t>מוגבל</w:t>
      </w:r>
      <w:r>
        <w:rPr>
          <w:rFonts w:hint="cs"/>
          <w:rtl/>
        </w:rPr>
        <w:t>".</w:t>
      </w:r>
      <w:r w:rsidR="002549D5" w:rsidRPr="00C95391">
        <w:rPr>
          <w:rFonts w:hint="cs"/>
          <w:rtl/>
        </w:rPr>
        <w:t xml:space="preserve"> בתקופת ההגבלה לא יוכל הלקוח לפתוח חשבון, למשוך שיקים, ובנק ישראל רשאי לפרסם את מספרי החשבונות המוגבלים עם צ</w:t>
      </w:r>
      <w:r>
        <w:rPr>
          <w:rFonts w:hint="cs"/>
          <w:rtl/>
        </w:rPr>
        <w:t>יון שם הבנק ותאריך סיום ההגבלה.</w:t>
      </w:r>
    </w:p>
    <w:p w14:paraId="1465A2A2" w14:textId="15021683" w:rsidR="002549D5" w:rsidRPr="00C95391" w:rsidRDefault="002549D5" w:rsidP="00B60D09">
      <w:pPr>
        <w:pStyle w:val="Hesber"/>
        <w:rPr>
          <w:rtl/>
        </w:rPr>
      </w:pPr>
      <w:r w:rsidRPr="00C95391">
        <w:rPr>
          <w:rFonts w:hint="cs"/>
          <w:rtl/>
        </w:rPr>
        <w:t>כבודו של אדם זה נרמס עד עפר, כמו גם חירותו הכלכלית</w:t>
      </w:r>
      <w:r w:rsidR="00C95391">
        <w:rPr>
          <w:rFonts w:hint="cs"/>
          <w:rtl/>
        </w:rPr>
        <w:t>,</w:t>
      </w:r>
      <w:r w:rsidRPr="00C95391">
        <w:rPr>
          <w:rFonts w:hint="cs"/>
          <w:rtl/>
        </w:rPr>
        <w:t xml:space="preserve"> האישית והעסקית</w:t>
      </w:r>
      <w:r w:rsidR="00C95391">
        <w:rPr>
          <w:rFonts w:hint="cs"/>
          <w:rtl/>
        </w:rPr>
        <w:t xml:space="preserve"> כולן</w:t>
      </w:r>
      <w:r w:rsidRPr="00C95391">
        <w:rPr>
          <w:rFonts w:hint="cs"/>
          <w:rtl/>
        </w:rPr>
        <w:t xml:space="preserve"> מושבת</w:t>
      </w:r>
      <w:r w:rsidR="00B60D09">
        <w:rPr>
          <w:rFonts w:hint="cs"/>
          <w:rtl/>
        </w:rPr>
        <w:t>ו</w:t>
      </w:r>
      <w:r w:rsidRPr="00C95391">
        <w:rPr>
          <w:rFonts w:hint="cs"/>
          <w:rtl/>
        </w:rPr>
        <w:t xml:space="preserve">ת </w:t>
      </w:r>
      <w:r w:rsidR="00B60D09">
        <w:rPr>
          <w:rFonts w:hint="cs"/>
          <w:rtl/>
        </w:rPr>
        <w:t xml:space="preserve">לחלוטין </w:t>
      </w:r>
      <w:r w:rsidRPr="00C95391">
        <w:rPr>
          <w:rFonts w:hint="cs"/>
          <w:rtl/>
        </w:rPr>
        <w:t xml:space="preserve">לתקופת ההגבלה ובכלל, שמו הוכתם ומתנוסס ברשימות שחורות למען </w:t>
      </w:r>
      <w:r w:rsidR="00A76FCD">
        <w:rPr>
          <w:rFonts w:hint="cs"/>
          <w:rtl/>
        </w:rPr>
        <w:t>י</w:t>
      </w:r>
      <w:r w:rsidRPr="00C95391">
        <w:rPr>
          <w:rFonts w:hint="cs"/>
          <w:rtl/>
        </w:rPr>
        <w:t>ידעו לא לבוא עמו בעסקים.</w:t>
      </w:r>
    </w:p>
    <w:p w14:paraId="1A1CEAF5" w14:textId="2FFE605E" w:rsidR="002549D5" w:rsidRPr="00C95391" w:rsidRDefault="00B60D09" w:rsidP="00C95391">
      <w:pPr>
        <w:pStyle w:val="Hesber"/>
        <w:rPr>
          <w:rtl/>
        </w:rPr>
      </w:pPr>
      <w:r>
        <w:rPr>
          <w:rFonts w:hint="cs"/>
          <w:rtl/>
        </w:rPr>
        <w:t>אין זה סביר לנקוט בסנקציה כה חריפה בלי לתת אזהרה לאדם, ולאפשר לו לשקם את עצמו ואת שמו האישי והעסקי.</w:t>
      </w:r>
    </w:p>
    <w:p w14:paraId="626E8521" w14:textId="44451B77" w:rsidR="002549D5" w:rsidRPr="00C95391" w:rsidRDefault="00B60D09" w:rsidP="00A76FCD">
      <w:pPr>
        <w:pStyle w:val="Hesber"/>
        <w:rPr>
          <w:rtl/>
        </w:rPr>
      </w:pPr>
      <w:r>
        <w:rPr>
          <w:rFonts w:hint="cs"/>
          <w:rtl/>
        </w:rPr>
        <w:t xml:space="preserve">לכן, </w:t>
      </w:r>
      <w:r w:rsidR="002549D5" w:rsidRPr="00C95391">
        <w:rPr>
          <w:rFonts w:hint="cs"/>
          <w:rtl/>
        </w:rPr>
        <w:t>מוצע לקבוע תנאי סף לשם הכרזת חשבון או אדם כמוגבל, אם חזרו לו מספר שיקים כפי שנקבע בתקנות, ובלבד שחזרו בהפרש 15 ימים, בשתי פעימות.</w:t>
      </w:r>
    </w:p>
    <w:p w14:paraId="44F631CF" w14:textId="42429D24" w:rsidR="002549D5" w:rsidRPr="00C95391" w:rsidRDefault="002549D5" w:rsidP="00B60D09">
      <w:pPr>
        <w:pStyle w:val="Hesber"/>
        <w:rPr>
          <w:rtl/>
        </w:rPr>
      </w:pPr>
      <w:r w:rsidRPr="00C95391">
        <w:rPr>
          <w:rFonts w:hint="cs"/>
          <w:rtl/>
        </w:rPr>
        <w:t>כמו כן, בין פעימה לפעימה ישלח הבנק התראה, לכל אחד מבעלי החשבון בדבר חזרת השיק ו</w:t>
      </w:r>
      <w:r w:rsidR="00B60D09">
        <w:rPr>
          <w:rFonts w:hint="cs"/>
          <w:rtl/>
        </w:rPr>
        <w:t>הסיכון כי ה</w:t>
      </w:r>
      <w:r w:rsidRPr="00C95391">
        <w:rPr>
          <w:rFonts w:hint="cs"/>
          <w:rtl/>
        </w:rPr>
        <w:t>חשבונות</w:t>
      </w:r>
      <w:r w:rsidR="00C95391">
        <w:rPr>
          <w:rFonts w:hint="cs"/>
          <w:rtl/>
        </w:rPr>
        <w:t xml:space="preserve"> או </w:t>
      </w:r>
      <w:r w:rsidR="00B60D09">
        <w:rPr>
          <w:rFonts w:hint="cs"/>
          <w:rtl/>
        </w:rPr>
        <w:t>ה</w:t>
      </w:r>
      <w:r w:rsidRPr="00C95391">
        <w:rPr>
          <w:rFonts w:hint="cs"/>
          <w:rtl/>
        </w:rPr>
        <w:t xml:space="preserve">לקוחות </w:t>
      </w:r>
      <w:r w:rsidR="00B60D09">
        <w:rPr>
          <w:rFonts w:hint="cs"/>
          <w:rtl/>
        </w:rPr>
        <w:t>ייחשבו ל</w:t>
      </w:r>
      <w:r w:rsidRPr="00C95391">
        <w:rPr>
          <w:rFonts w:hint="cs"/>
          <w:rtl/>
        </w:rPr>
        <w:t>מוגבלים.</w:t>
      </w:r>
    </w:p>
    <w:p w14:paraId="7F6961CB" w14:textId="0BC12AE8" w:rsidR="00E13C27" w:rsidRDefault="002549D5" w:rsidP="00C95391">
      <w:pPr>
        <w:pStyle w:val="Hesber"/>
        <w:rPr>
          <w:rtl/>
        </w:rPr>
      </w:pPr>
      <w:r w:rsidRPr="00C95391">
        <w:rPr>
          <w:rFonts w:hint="cs"/>
          <w:rtl/>
        </w:rPr>
        <w:t xml:space="preserve">בפעימה האחרונה, ובטרם הכרזתם כחשבונות </w:t>
      </w:r>
      <w:r w:rsidR="00C95391">
        <w:rPr>
          <w:rFonts w:hint="cs"/>
          <w:rtl/>
        </w:rPr>
        <w:t>או</w:t>
      </w:r>
      <w:r w:rsidRPr="00C95391">
        <w:rPr>
          <w:rFonts w:hint="cs"/>
          <w:rtl/>
        </w:rPr>
        <w:t xml:space="preserve"> לקוחות מוגבלים, יאפשר הבנק באופן חד פעמי, להסדיר את החשבון תוך שבעה ימים בטרם יוגדרו כחשבונות </w:t>
      </w:r>
      <w:r w:rsidR="00C95391">
        <w:rPr>
          <w:rFonts w:hint="cs"/>
          <w:rtl/>
        </w:rPr>
        <w:t xml:space="preserve">או לקוחות מוגבלים. במקרה בו הוסדר החשבון, </w:t>
      </w:r>
      <w:r w:rsidRPr="00C95391">
        <w:rPr>
          <w:rFonts w:hint="cs"/>
          <w:rtl/>
        </w:rPr>
        <w:t>לא יוכרז החשבון או הלקוח כמוגבל.</w:t>
      </w:r>
    </w:p>
    <w:p w14:paraId="5C98A09F" w14:textId="2F2F7425" w:rsidR="00722E6D" w:rsidRDefault="00722E6D" w:rsidP="00C95391">
      <w:pPr>
        <w:pStyle w:val="Hesber"/>
        <w:rPr>
          <w:rtl/>
        </w:rPr>
      </w:pPr>
    </w:p>
    <w:p w14:paraId="1A33E10D" w14:textId="77777777" w:rsidR="00722E6D" w:rsidRPr="00D73212" w:rsidRDefault="00722E6D" w:rsidP="00722E6D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34D69F1" w14:textId="77777777" w:rsidR="00722E6D" w:rsidRPr="00D73212" w:rsidRDefault="00722E6D" w:rsidP="00722E6D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5BE6218F" w14:textId="77777777" w:rsidR="00722E6D" w:rsidRPr="00D73212" w:rsidRDefault="00722E6D" w:rsidP="00722E6D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6A25114" w14:textId="77777777" w:rsidR="00722E6D" w:rsidRPr="00317312" w:rsidRDefault="00722E6D" w:rsidP="00722E6D">
      <w:pPr>
        <w:pStyle w:val="Hesber"/>
      </w:pPr>
      <w:r>
        <w:rPr>
          <w:rFonts w:hint="cs"/>
          <w:color w:val="auto"/>
          <w:rtl/>
          <w:lang w:eastAsia="en-US"/>
        </w:rPr>
        <w:t>י"ד בטבת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1.1.18</w:t>
      </w:r>
    </w:p>
    <w:p w14:paraId="46A47BD5" w14:textId="77777777" w:rsidR="00722E6D" w:rsidRPr="00C95391" w:rsidRDefault="00722E6D" w:rsidP="00C95391">
      <w:pPr>
        <w:pStyle w:val="Hesber"/>
        <w:rPr>
          <w:rtl/>
        </w:rPr>
      </w:pPr>
    </w:p>
    <w:sectPr w:rsidR="00722E6D" w:rsidRPr="00C95391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2A75C2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F16515F" w14:textId="77777777" w:rsidR="00C95391" w:rsidRDefault="00C95391" w:rsidP="00C95391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התשמ"א, עמ' 136.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5191"/>
    <w:multiLevelType w:val="hybridMultilevel"/>
    <w:tmpl w:val="DAAA3B22"/>
    <w:lvl w:ilvl="0" w:tplc="849A65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97E73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549D5"/>
    <w:rsid w:val="00266D86"/>
    <w:rsid w:val="002728B4"/>
    <w:rsid w:val="0027600C"/>
    <w:rsid w:val="00292712"/>
    <w:rsid w:val="002A487D"/>
    <w:rsid w:val="002A75C2"/>
    <w:rsid w:val="002C2E29"/>
    <w:rsid w:val="002C3041"/>
    <w:rsid w:val="002D1EE3"/>
    <w:rsid w:val="002F1D80"/>
    <w:rsid w:val="003232A2"/>
    <w:rsid w:val="00325C14"/>
    <w:rsid w:val="0033207D"/>
    <w:rsid w:val="0036422C"/>
    <w:rsid w:val="003710F6"/>
    <w:rsid w:val="00386E88"/>
    <w:rsid w:val="00396585"/>
    <w:rsid w:val="003C2970"/>
    <w:rsid w:val="003D6E38"/>
    <w:rsid w:val="003D74A0"/>
    <w:rsid w:val="0040039C"/>
    <w:rsid w:val="004033D8"/>
    <w:rsid w:val="004073F0"/>
    <w:rsid w:val="00412A7D"/>
    <w:rsid w:val="00416B4D"/>
    <w:rsid w:val="00417CFC"/>
    <w:rsid w:val="004A06DC"/>
    <w:rsid w:val="004B24ED"/>
    <w:rsid w:val="004B6625"/>
    <w:rsid w:val="004C1730"/>
    <w:rsid w:val="004D2D82"/>
    <w:rsid w:val="004D3876"/>
    <w:rsid w:val="004E4552"/>
    <w:rsid w:val="004E6CDF"/>
    <w:rsid w:val="00521881"/>
    <w:rsid w:val="00553C9D"/>
    <w:rsid w:val="00562A66"/>
    <w:rsid w:val="00577831"/>
    <w:rsid w:val="005B064E"/>
    <w:rsid w:val="005D51AE"/>
    <w:rsid w:val="0062674B"/>
    <w:rsid w:val="006363B2"/>
    <w:rsid w:val="00644940"/>
    <w:rsid w:val="006818A9"/>
    <w:rsid w:val="006819B5"/>
    <w:rsid w:val="006A2D81"/>
    <w:rsid w:val="006C1D0D"/>
    <w:rsid w:val="006E3F74"/>
    <w:rsid w:val="0070601E"/>
    <w:rsid w:val="007103EB"/>
    <w:rsid w:val="00712C72"/>
    <w:rsid w:val="00722E6D"/>
    <w:rsid w:val="00735FE9"/>
    <w:rsid w:val="00736257"/>
    <w:rsid w:val="0075100D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26E4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149C7"/>
    <w:rsid w:val="009203DB"/>
    <w:rsid w:val="00923CD4"/>
    <w:rsid w:val="00930EFE"/>
    <w:rsid w:val="00943386"/>
    <w:rsid w:val="009456B6"/>
    <w:rsid w:val="00953A62"/>
    <w:rsid w:val="00957589"/>
    <w:rsid w:val="00966D06"/>
    <w:rsid w:val="00982412"/>
    <w:rsid w:val="00983A8D"/>
    <w:rsid w:val="009A0DB8"/>
    <w:rsid w:val="009A7257"/>
    <w:rsid w:val="009D62F3"/>
    <w:rsid w:val="009D6E0A"/>
    <w:rsid w:val="009E1E33"/>
    <w:rsid w:val="00A14672"/>
    <w:rsid w:val="00A26BD6"/>
    <w:rsid w:val="00A443CF"/>
    <w:rsid w:val="00A6611D"/>
    <w:rsid w:val="00A76FC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60D09"/>
    <w:rsid w:val="00B733A7"/>
    <w:rsid w:val="00B75C91"/>
    <w:rsid w:val="00B852C4"/>
    <w:rsid w:val="00B924F5"/>
    <w:rsid w:val="00B975AD"/>
    <w:rsid w:val="00BC45FB"/>
    <w:rsid w:val="00BF148D"/>
    <w:rsid w:val="00C23B1A"/>
    <w:rsid w:val="00C25486"/>
    <w:rsid w:val="00C310EB"/>
    <w:rsid w:val="00C9176A"/>
    <w:rsid w:val="00C95391"/>
    <w:rsid w:val="00CF1AA2"/>
    <w:rsid w:val="00D03AA0"/>
    <w:rsid w:val="00D17774"/>
    <w:rsid w:val="00D35847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56216"/>
    <w:rsid w:val="00E62778"/>
    <w:rsid w:val="00E63D38"/>
    <w:rsid w:val="00E665B9"/>
    <w:rsid w:val="00EA01E6"/>
    <w:rsid w:val="00EA3DE8"/>
    <w:rsid w:val="00EA758F"/>
    <w:rsid w:val="00ED4A6F"/>
    <w:rsid w:val="00EF3A3A"/>
    <w:rsid w:val="00F11EC8"/>
    <w:rsid w:val="00F628D6"/>
    <w:rsid w:val="00F67051"/>
    <w:rsid w:val="00F81C72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232AC-7350-480C-9EA0-1B87E09C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A1C1F6-2731-40CD-A942-72426462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527</Words>
  <Characters>2491</Characters>
  <Application>Microsoft Office Word</Application>
  <DocSecurity>0</DocSecurity>
  <Lines>191</Lines>
  <Paragraphs>100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24</cp:revision>
  <cp:lastPrinted>2017-12-31T12:31:00Z</cp:lastPrinted>
  <dcterms:created xsi:type="dcterms:W3CDTF">2015-04-20T09:58:00Z</dcterms:created>
  <dcterms:modified xsi:type="dcterms:W3CDTF">2017-12-31T12:31:00Z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2025146</vt:r8>
  </property>
</Properties>
</file>