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2024438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67D909E4" w14:textId="77777777" w:rsidR="008D01F4" w:rsidRDefault="008D01F4" w:rsidP="008D01F4">
      <w:pPr>
        <w:pStyle w:val="David"/>
        <w:spacing w:line="360" w:lineRule="auto"/>
        <w:rPr>
          <w:b/>
          <w:bCs/>
          <w:rtl/>
        </w:rPr>
      </w:pPr>
      <w:bookmarkStart w:id="2" w:name="LGS_Initiators_List"/>
    </w:p>
    <w:p w14:paraId="7F6961AA" w14:textId="18FC84B3" w:rsidR="00E13C27" w:rsidRPr="00CF1AA2" w:rsidRDefault="008F6665" w:rsidP="00906E97">
      <w:pPr>
        <w:pStyle w:val="David"/>
        <w:spacing w:line="360" w:lineRule="auto"/>
        <w:ind w:left="1440"/>
        <w:rPr>
          <w:b/>
          <w:bCs/>
          <w:sz w:val="16"/>
          <w:szCs w:val="16"/>
          <w:rtl/>
        </w:rPr>
      </w:pPr>
      <w:r>
        <w:rPr>
          <w:b/>
          <w:bCs/>
          <w:rtl/>
        </w:rPr>
        <w:t>יוזמים:      חברי הכנסת</w:t>
      </w:r>
      <w:bookmarkEnd w:id="2"/>
      <w:r w:rsidR="00B35784" w:rsidRPr="00F67051">
        <w:rPr>
          <w:b/>
          <w:bCs/>
        </w:rPr>
        <w:tab/>
      </w:r>
      <w:bookmarkStart w:id="3" w:name="LGS_PM_Names"/>
      <w:r>
        <w:rPr>
          <w:rFonts w:hint="cs"/>
          <w:b/>
          <w:bCs/>
          <w:rtl/>
        </w:rPr>
        <w:t>משה גפני</w:t>
      </w:r>
      <w:r w:rsidR="008D01F4" w:rsidRPr="008D01F4">
        <w:rPr>
          <w:rFonts w:hint="cs"/>
          <w:b/>
          <w:bCs/>
          <w:rtl/>
        </w:rPr>
        <w:t xml:space="preserve"> </w:t>
      </w:r>
      <w:r w:rsidR="008D01F4">
        <w:rPr>
          <w:b/>
          <w:bCs/>
          <w:rtl/>
        </w:rPr>
        <w:tab/>
      </w:r>
      <w:r w:rsidR="008D01F4">
        <w:rPr>
          <w:b/>
          <w:bCs/>
          <w:rtl/>
        </w:rPr>
        <w:tab/>
      </w:r>
      <w:r w:rsidR="008D01F4">
        <w:rPr>
          <w:rFonts w:hint="cs"/>
          <w:b/>
          <w:bCs/>
          <w:rtl/>
        </w:rPr>
        <w:t>מוסי רז</w:t>
      </w:r>
      <w:r>
        <w:br/>
      </w:r>
      <w:r>
        <w:rPr>
          <w:rFonts w:hint="cs"/>
          <w:b/>
          <w:bCs/>
          <w:rtl/>
        </w:rPr>
        <w:t xml:space="preserve"> </w:t>
      </w:r>
      <w:r>
        <w:tab/>
      </w:r>
      <w:r>
        <w:tab/>
      </w:r>
      <w:r>
        <w:tab/>
      </w:r>
      <w:r>
        <w:tab/>
      </w:r>
      <w:r>
        <w:rPr>
          <w:rFonts w:hint="cs"/>
          <w:b/>
          <w:bCs/>
          <w:rtl/>
        </w:rPr>
        <w:t>מרב מיכאלי</w:t>
      </w:r>
      <w:r w:rsidR="008D01F4" w:rsidRPr="008D01F4">
        <w:rPr>
          <w:rFonts w:hint="cs"/>
          <w:b/>
          <w:bCs/>
          <w:rtl/>
        </w:rPr>
        <w:t xml:space="preserve"> </w:t>
      </w:r>
      <w:r w:rsidR="008D01F4">
        <w:rPr>
          <w:b/>
          <w:bCs/>
          <w:rtl/>
        </w:rPr>
        <w:tab/>
      </w:r>
      <w:r w:rsidR="008D01F4">
        <w:rPr>
          <w:b/>
          <w:bCs/>
          <w:rtl/>
        </w:rPr>
        <w:tab/>
      </w:r>
      <w:r w:rsidR="008D01F4">
        <w:rPr>
          <w:rFonts w:hint="cs"/>
          <w:b/>
          <w:bCs/>
          <w:rtl/>
        </w:rPr>
        <w:t>מיקי לוי</w:t>
      </w:r>
      <w:r>
        <w:br/>
      </w:r>
      <w:r>
        <w:rPr>
          <w:rFonts w:hint="cs"/>
          <w:b/>
          <w:bCs/>
          <w:rtl/>
        </w:rPr>
        <w:t xml:space="preserve"> </w:t>
      </w:r>
      <w:r>
        <w:tab/>
      </w:r>
      <w:r>
        <w:tab/>
      </w:r>
      <w:r>
        <w:tab/>
      </w:r>
      <w:r>
        <w:tab/>
      </w:r>
      <w:r>
        <w:rPr>
          <w:rFonts w:hint="cs"/>
          <w:b/>
          <w:bCs/>
          <w:rtl/>
        </w:rPr>
        <w:t>שלי יחימוביץ'</w:t>
      </w:r>
      <w:r w:rsidR="008D01F4" w:rsidRPr="008D01F4">
        <w:rPr>
          <w:rFonts w:hint="cs"/>
          <w:b/>
          <w:bCs/>
          <w:rtl/>
        </w:rPr>
        <w:t xml:space="preserve"> </w:t>
      </w:r>
      <w:r w:rsidR="008D01F4">
        <w:rPr>
          <w:b/>
          <w:bCs/>
          <w:rtl/>
        </w:rPr>
        <w:tab/>
      </w:r>
      <w:r w:rsidR="008D01F4">
        <w:rPr>
          <w:rFonts w:hint="cs"/>
          <w:b/>
          <w:bCs/>
          <w:rtl/>
        </w:rPr>
        <w:t>מיכאל מלכיאלי</w:t>
      </w:r>
      <w:r>
        <w:br/>
      </w:r>
      <w:r>
        <w:rPr>
          <w:rFonts w:hint="cs"/>
          <w:b/>
          <w:bCs/>
          <w:rtl/>
        </w:rPr>
        <w:t xml:space="preserve"> </w:t>
      </w:r>
      <w:r>
        <w:tab/>
      </w:r>
      <w:r>
        <w:tab/>
      </w:r>
      <w:r>
        <w:tab/>
      </w:r>
      <w:r>
        <w:tab/>
      </w:r>
      <w:r>
        <w:rPr>
          <w:rFonts w:hint="cs"/>
          <w:b/>
          <w:bCs/>
          <w:rtl/>
        </w:rPr>
        <w:t>סתיו שפיר</w:t>
      </w:r>
      <w:r w:rsidR="008D01F4" w:rsidRPr="008D01F4">
        <w:rPr>
          <w:rFonts w:hint="cs"/>
          <w:b/>
          <w:bCs/>
          <w:rtl/>
        </w:rPr>
        <w:t xml:space="preserve"> </w:t>
      </w:r>
      <w:r w:rsidR="008D01F4">
        <w:rPr>
          <w:b/>
          <w:bCs/>
          <w:rtl/>
        </w:rPr>
        <w:tab/>
      </w:r>
      <w:r w:rsidR="008D01F4">
        <w:rPr>
          <w:b/>
          <w:bCs/>
          <w:rtl/>
        </w:rPr>
        <w:tab/>
      </w:r>
      <w:r w:rsidR="008D01F4">
        <w:rPr>
          <w:rFonts w:hint="cs"/>
          <w:b/>
          <w:bCs/>
          <w:rtl/>
        </w:rPr>
        <w:t>מנחם אליעזר מוזס</w:t>
      </w:r>
      <w:r>
        <w:br/>
      </w:r>
      <w:r>
        <w:rPr>
          <w:rFonts w:hint="cs"/>
          <w:b/>
          <w:bCs/>
          <w:rtl/>
        </w:rPr>
        <w:t xml:space="preserve"> </w:t>
      </w:r>
      <w:r>
        <w:tab/>
      </w:r>
      <w:r>
        <w:tab/>
      </w:r>
      <w:r>
        <w:tab/>
      </w:r>
      <w:r>
        <w:tab/>
      </w:r>
      <w:r>
        <w:rPr>
          <w:rFonts w:hint="cs"/>
          <w:b/>
          <w:bCs/>
          <w:rtl/>
        </w:rPr>
        <w:t>יוליה מלינובסקי</w:t>
      </w:r>
      <w:r w:rsidR="008D01F4" w:rsidRPr="008D01F4">
        <w:rPr>
          <w:rFonts w:hint="cs"/>
          <w:b/>
          <w:bCs/>
          <w:rtl/>
        </w:rPr>
        <w:t xml:space="preserve"> </w:t>
      </w:r>
      <w:r w:rsidR="008D01F4">
        <w:rPr>
          <w:b/>
          <w:bCs/>
          <w:rtl/>
        </w:rPr>
        <w:tab/>
      </w:r>
      <w:r w:rsidR="008D01F4">
        <w:rPr>
          <w:rFonts w:hint="cs"/>
          <w:b/>
          <w:bCs/>
          <w:rtl/>
        </w:rPr>
        <w:t>רויטל סויד</w:t>
      </w:r>
      <w:r>
        <w:br/>
      </w:r>
      <w:r>
        <w:rPr>
          <w:rFonts w:hint="cs"/>
          <w:b/>
          <w:bCs/>
          <w:rtl/>
        </w:rPr>
        <w:t xml:space="preserve"> </w:t>
      </w:r>
      <w:r>
        <w:tab/>
      </w:r>
      <w:r>
        <w:tab/>
      </w:r>
      <w:r>
        <w:tab/>
      </w:r>
      <w:r>
        <w:tab/>
      </w:r>
      <w:r>
        <w:rPr>
          <w:rFonts w:hint="cs"/>
          <w:b/>
          <w:bCs/>
          <w:rtl/>
        </w:rPr>
        <w:t>טלי פלוסקוב</w:t>
      </w:r>
      <w:r w:rsidR="008D01F4" w:rsidRPr="008D01F4">
        <w:rPr>
          <w:rFonts w:hint="cs"/>
          <w:b/>
          <w:bCs/>
          <w:rtl/>
        </w:rPr>
        <w:t xml:space="preserve"> </w:t>
      </w:r>
      <w:r w:rsidR="008D01F4">
        <w:rPr>
          <w:b/>
          <w:bCs/>
          <w:rtl/>
        </w:rPr>
        <w:tab/>
      </w:r>
      <w:r w:rsidR="008D01F4">
        <w:rPr>
          <w:b/>
          <w:bCs/>
          <w:rtl/>
        </w:rPr>
        <w:tab/>
      </w:r>
      <w:r w:rsidR="008D01F4">
        <w:rPr>
          <w:rFonts w:hint="cs"/>
          <w:b/>
          <w:bCs/>
          <w:rtl/>
        </w:rPr>
        <w:t>אחמד טיבי</w:t>
      </w:r>
      <w:r>
        <w:br/>
      </w:r>
      <w:r>
        <w:rPr>
          <w:rFonts w:hint="cs"/>
          <w:b/>
          <w:bCs/>
          <w:rtl/>
        </w:rPr>
        <w:t xml:space="preserve"> </w:t>
      </w:r>
      <w:r>
        <w:tab/>
      </w:r>
      <w:r>
        <w:tab/>
      </w:r>
      <w:r>
        <w:tab/>
      </w:r>
      <w:r>
        <w:tab/>
      </w:r>
      <w:r>
        <w:rPr>
          <w:rFonts w:hint="cs"/>
          <w:b/>
          <w:bCs/>
          <w:rtl/>
        </w:rPr>
        <w:t>קארין אלהרר</w:t>
      </w:r>
      <w:r w:rsidR="008D01F4" w:rsidRPr="008D01F4">
        <w:rPr>
          <w:rFonts w:hint="cs"/>
          <w:b/>
          <w:bCs/>
          <w:rtl/>
        </w:rPr>
        <w:t xml:space="preserve"> </w:t>
      </w:r>
      <w:r w:rsidR="00906E97">
        <w:rPr>
          <w:b/>
          <w:bCs/>
          <w:rtl/>
        </w:rPr>
        <w:tab/>
      </w:r>
      <w:r w:rsidR="00906E97">
        <w:rPr>
          <w:b/>
          <w:bCs/>
          <w:rtl/>
        </w:rPr>
        <w:tab/>
      </w:r>
      <w:r w:rsidR="008D01F4">
        <w:rPr>
          <w:rFonts w:hint="cs"/>
          <w:b/>
          <w:bCs/>
          <w:rtl/>
        </w:rPr>
        <w:t>יואב קיש</w:t>
      </w:r>
      <w:r>
        <w:br/>
      </w:r>
      <w:r>
        <w:rPr>
          <w:rFonts w:hint="cs"/>
          <w:b/>
          <w:bCs/>
          <w:rtl/>
        </w:rPr>
        <w:t xml:space="preserve"> </w:t>
      </w:r>
      <w:r>
        <w:tab/>
      </w:r>
      <w:r>
        <w:tab/>
      </w:r>
      <w:r>
        <w:tab/>
      </w:r>
      <w:r>
        <w:tab/>
      </w:r>
      <w:r>
        <w:rPr>
          <w:rFonts w:hint="cs"/>
          <w:b/>
          <w:bCs/>
          <w:rtl/>
        </w:rPr>
        <w:t>מיכל רוזין</w:t>
      </w:r>
      <w:r w:rsidR="008D01F4" w:rsidRPr="008D01F4">
        <w:rPr>
          <w:rFonts w:hint="cs"/>
          <w:b/>
          <w:bCs/>
          <w:rtl/>
        </w:rPr>
        <w:t xml:space="preserve"> </w:t>
      </w:r>
      <w:r w:rsidR="00906E97">
        <w:rPr>
          <w:b/>
          <w:bCs/>
          <w:rtl/>
        </w:rPr>
        <w:tab/>
      </w:r>
      <w:r w:rsidR="00906E97">
        <w:rPr>
          <w:b/>
          <w:bCs/>
          <w:rtl/>
        </w:rPr>
        <w:tab/>
      </w:r>
      <w:r w:rsidR="008D01F4">
        <w:rPr>
          <w:rFonts w:hint="cs"/>
          <w:b/>
          <w:bCs/>
          <w:rtl/>
        </w:rPr>
        <w:t>נאוה בוקר</w:t>
      </w:r>
      <w:r>
        <w:br/>
      </w:r>
      <w:r>
        <w:rPr>
          <w:rFonts w:hint="cs"/>
          <w:b/>
          <w:bCs/>
          <w:rtl/>
        </w:rPr>
        <w:t xml:space="preserve"> </w:t>
      </w:r>
      <w:r>
        <w:tab/>
      </w:r>
      <w:r>
        <w:tab/>
      </w:r>
      <w:r>
        <w:tab/>
      </w:r>
      <w:r>
        <w:tab/>
      </w:r>
      <w:r>
        <w:rPr>
          <w:rFonts w:hint="cs"/>
          <w:b/>
          <w:bCs/>
          <w:rtl/>
        </w:rPr>
        <w:t>עאידה תומא סלימאן</w:t>
      </w:r>
      <w:r w:rsidR="008D01F4" w:rsidRPr="008D01F4">
        <w:rPr>
          <w:rFonts w:hint="cs"/>
          <w:b/>
          <w:bCs/>
          <w:rtl/>
        </w:rPr>
        <w:t xml:space="preserve"> </w:t>
      </w:r>
      <w:r w:rsidR="00906E97">
        <w:rPr>
          <w:b/>
          <w:bCs/>
          <w:rtl/>
        </w:rPr>
        <w:tab/>
      </w:r>
      <w:r w:rsidR="008D01F4">
        <w:rPr>
          <w:rFonts w:hint="cs"/>
          <w:b/>
          <w:bCs/>
          <w:rtl/>
        </w:rPr>
        <w:t>ישראל אייכלר</w:t>
      </w:r>
      <w:r>
        <w:br/>
      </w:r>
      <w:r>
        <w:rPr>
          <w:rFonts w:hint="cs"/>
          <w:b/>
          <w:bCs/>
          <w:rtl/>
        </w:rPr>
        <w:t xml:space="preserve"> </w:t>
      </w:r>
      <w:r>
        <w:tab/>
      </w:r>
      <w:r>
        <w:tab/>
      </w:r>
      <w:r>
        <w:tab/>
      </w:r>
      <w:r>
        <w:tab/>
      </w:r>
      <w:r>
        <w:rPr>
          <w:rFonts w:hint="cs"/>
          <w:b/>
          <w:bCs/>
          <w:rtl/>
        </w:rPr>
        <w:t>מיקי רוזנטל</w:t>
      </w:r>
      <w:r w:rsidR="008D01F4" w:rsidRPr="008D01F4">
        <w:rPr>
          <w:rFonts w:hint="cs"/>
          <w:b/>
          <w:bCs/>
          <w:rtl/>
        </w:rPr>
        <w:t xml:space="preserve"> </w:t>
      </w:r>
      <w:r w:rsidR="00906E97">
        <w:rPr>
          <w:b/>
          <w:bCs/>
          <w:rtl/>
        </w:rPr>
        <w:tab/>
      </w:r>
      <w:r w:rsidR="00906E97">
        <w:rPr>
          <w:b/>
          <w:bCs/>
          <w:rtl/>
        </w:rPr>
        <w:tab/>
      </w:r>
      <w:r w:rsidR="008D01F4">
        <w:rPr>
          <w:rFonts w:hint="cs"/>
          <w:b/>
          <w:bCs/>
          <w:rtl/>
        </w:rPr>
        <w:t>תמר זנדברג</w:t>
      </w:r>
      <w:r>
        <w:br/>
      </w:r>
      <w:r>
        <w:rPr>
          <w:rFonts w:hint="cs"/>
          <w:b/>
          <w:bCs/>
          <w:rtl/>
        </w:rPr>
        <w:t xml:space="preserve"> </w:t>
      </w:r>
      <w:r>
        <w:tab/>
      </w:r>
      <w:r>
        <w:tab/>
      </w:r>
      <w:r>
        <w:tab/>
      </w:r>
      <w:r>
        <w:tab/>
      </w:r>
      <w:r>
        <w:rPr>
          <w:rFonts w:hint="cs"/>
          <w:b/>
          <w:bCs/>
          <w:rtl/>
        </w:rPr>
        <w:t>יצחק וקנין</w:t>
      </w:r>
      <w:r w:rsidR="008D01F4" w:rsidRPr="008D01F4">
        <w:rPr>
          <w:rFonts w:hint="cs"/>
          <w:b/>
          <w:bCs/>
          <w:rtl/>
        </w:rPr>
        <w:t xml:space="preserve"> </w:t>
      </w:r>
      <w:r w:rsidR="00906E97">
        <w:rPr>
          <w:b/>
          <w:bCs/>
          <w:rtl/>
        </w:rPr>
        <w:tab/>
      </w:r>
      <w:r w:rsidR="00906E97">
        <w:rPr>
          <w:b/>
          <w:bCs/>
          <w:rtl/>
        </w:rPr>
        <w:tab/>
      </w:r>
      <w:r w:rsidR="008D01F4">
        <w:rPr>
          <w:rFonts w:hint="cs"/>
          <w:b/>
          <w:bCs/>
          <w:rtl/>
        </w:rPr>
        <w:t>לאה פדידה</w:t>
      </w:r>
      <w:r>
        <w:br/>
      </w:r>
      <w:r>
        <w:rPr>
          <w:rFonts w:hint="cs"/>
          <w:b/>
          <w:bCs/>
          <w:rtl/>
        </w:rPr>
        <w:t xml:space="preserve"> </w:t>
      </w:r>
      <w:r>
        <w:tab/>
      </w:r>
      <w:r>
        <w:tab/>
      </w:r>
      <w:r>
        <w:tab/>
      </w:r>
      <w:r>
        <w:tab/>
      </w:r>
      <w:r>
        <w:rPr>
          <w:rFonts w:hint="cs"/>
          <w:b/>
          <w:bCs/>
          <w:rtl/>
        </w:rPr>
        <w:t>בצלאל סמוטריץ'</w:t>
      </w:r>
      <w:r w:rsidR="008D01F4" w:rsidRPr="008D01F4">
        <w:rPr>
          <w:rFonts w:hint="cs"/>
          <w:b/>
          <w:bCs/>
          <w:rtl/>
        </w:rPr>
        <w:t xml:space="preserve"> </w:t>
      </w:r>
      <w:r w:rsidR="00906E97">
        <w:rPr>
          <w:b/>
          <w:bCs/>
          <w:rtl/>
        </w:rPr>
        <w:tab/>
      </w:r>
      <w:r w:rsidR="008D01F4">
        <w:rPr>
          <w:rFonts w:hint="cs"/>
          <w:b/>
          <w:bCs/>
          <w:rtl/>
        </w:rPr>
        <w:t>יעקב מרגי</w:t>
      </w:r>
      <w:r>
        <w:br/>
      </w:r>
      <w:r>
        <w:rPr>
          <w:rFonts w:hint="cs"/>
          <w:b/>
          <w:bCs/>
          <w:rtl/>
        </w:rPr>
        <w:t xml:space="preserve"> </w:t>
      </w:r>
      <w:r>
        <w:tab/>
      </w:r>
      <w:r>
        <w:tab/>
      </w:r>
      <w:r>
        <w:tab/>
      </w:r>
      <w:r>
        <w:tab/>
      </w:r>
      <w:r>
        <w:rPr>
          <w:rFonts w:hint="cs"/>
          <w:b/>
          <w:bCs/>
          <w:rtl/>
        </w:rPr>
        <w:t>עודד פורר</w:t>
      </w:r>
      <w:r w:rsidR="008D01F4" w:rsidRPr="008D01F4">
        <w:rPr>
          <w:rFonts w:hint="cs"/>
          <w:b/>
          <w:bCs/>
          <w:rtl/>
        </w:rPr>
        <w:t xml:space="preserve"> </w:t>
      </w:r>
      <w:r w:rsidR="00906E97">
        <w:rPr>
          <w:b/>
          <w:bCs/>
          <w:rtl/>
        </w:rPr>
        <w:tab/>
      </w:r>
      <w:r w:rsidR="00906E97">
        <w:rPr>
          <w:b/>
          <w:bCs/>
          <w:rtl/>
        </w:rPr>
        <w:tab/>
      </w:r>
      <w:r w:rsidR="008D01F4">
        <w:rPr>
          <w:rFonts w:hint="cs"/>
          <w:b/>
          <w:bCs/>
          <w:rtl/>
        </w:rPr>
        <w:t>אורי מקלב</w:t>
      </w:r>
      <w:r>
        <w:br/>
      </w:r>
      <w:r>
        <w:rPr>
          <w:rFonts w:hint="cs"/>
          <w:b/>
          <w:bCs/>
          <w:rtl/>
        </w:rPr>
        <w:t xml:space="preserve"> </w:t>
      </w:r>
      <w:r>
        <w:tab/>
      </w:r>
      <w:r>
        <w:tab/>
      </w:r>
      <w:r>
        <w:tab/>
      </w:r>
      <w:r>
        <w:tab/>
      </w:r>
      <w:r>
        <w:rPr>
          <w:rFonts w:hint="cs"/>
          <w:b/>
          <w:bCs/>
          <w:rtl/>
        </w:rPr>
        <w:t>שולי מועלם-רפאלי</w:t>
      </w:r>
      <w:r w:rsidR="008D01F4" w:rsidRPr="008D01F4">
        <w:rPr>
          <w:rFonts w:hint="cs"/>
          <w:b/>
          <w:bCs/>
          <w:rtl/>
        </w:rPr>
        <w:t xml:space="preserve"> </w:t>
      </w:r>
      <w:r w:rsidR="00906E97">
        <w:rPr>
          <w:b/>
          <w:bCs/>
          <w:rtl/>
        </w:rPr>
        <w:tab/>
      </w:r>
      <w:r w:rsidR="008D01F4">
        <w:rPr>
          <w:rFonts w:hint="cs"/>
          <w:b/>
          <w:bCs/>
          <w:rtl/>
        </w:rPr>
        <w:t>טלב אבו עראר</w:t>
      </w:r>
      <w:r>
        <w:br/>
      </w:r>
      <w:r>
        <w:rPr>
          <w:rFonts w:hint="cs"/>
          <w:b/>
          <w:bCs/>
          <w:rtl/>
        </w:rPr>
        <w:t xml:space="preserve"> </w:t>
      </w:r>
      <w:r>
        <w:tab/>
      </w:r>
      <w:r>
        <w:tab/>
      </w:r>
      <w:r>
        <w:tab/>
      </w:r>
      <w:r>
        <w:tab/>
      </w:r>
      <w:r>
        <w:rPr>
          <w:rFonts w:hint="cs"/>
          <w:b/>
          <w:bCs/>
          <w:rtl/>
        </w:rPr>
        <w:t>אורן אסף חזן</w:t>
      </w:r>
      <w:r w:rsidR="008D01F4" w:rsidRPr="008D01F4">
        <w:rPr>
          <w:rFonts w:hint="cs"/>
          <w:b/>
          <w:bCs/>
          <w:rtl/>
        </w:rPr>
        <w:t xml:space="preserve"> </w:t>
      </w:r>
      <w:r w:rsidR="00906E97">
        <w:rPr>
          <w:b/>
          <w:bCs/>
          <w:rtl/>
        </w:rPr>
        <w:tab/>
      </w:r>
      <w:r w:rsidR="00906E97">
        <w:rPr>
          <w:b/>
          <w:bCs/>
          <w:rtl/>
        </w:rPr>
        <w:tab/>
      </w:r>
      <w:r w:rsidR="008D01F4">
        <w:rPr>
          <w:rFonts w:hint="cs"/>
          <w:b/>
          <w:bCs/>
          <w:rtl/>
        </w:rPr>
        <w:t>מיכל בירן</w:t>
      </w:r>
      <w:r>
        <w:br/>
      </w:r>
      <w:r>
        <w:rPr>
          <w:rFonts w:hint="cs"/>
          <w:b/>
          <w:bCs/>
          <w:rtl/>
        </w:rPr>
        <w:t xml:space="preserve"> </w:t>
      </w:r>
      <w:r>
        <w:tab/>
      </w:r>
      <w:r>
        <w:tab/>
      </w:r>
      <w:r>
        <w:tab/>
      </w:r>
      <w:r>
        <w:tab/>
      </w:r>
      <w:r>
        <w:rPr>
          <w:rFonts w:hint="cs"/>
          <w:b/>
          <w:bCs/>
          <w:rtl/>
        </w:rPr>
        <w:t>נורית קורן</w:t>
      </w:r>
      <w:r w:rsidR="008D01F4" w:rsidRPr="008D01F4">
        <w:rPr>
          <w:rFonts w:hint="cs"/>
          <w:b/>
          <w:bCs/>
          <w:rtl/>
        </w:rPr>
        <w:t xml:space="preserve"> </w:t>
      </w:r>
      <w:r w:rsidR="00906E97">
        <w:rPr>
          <w:b/>
          <w:bCs/>
          <w:rtl/>
        </w:rPr>
        <w:tab/>
      </w:r>
      <w:r w:rsidR="00906E97">
        <w:rPr>
          <w:b/>
          <w:bCs/>
          <w:rtl/>
        </w:rPr>
        <w:tab/>
      </w:r>
      <w:r w:rsidR="008D01F4">
        <w:rPr>
          <w:rFonts w:hint="cs"/>
          <w:b/>
          <w:bCs/>
          <w:rtl/>
        </w:rPr>
        <w:t>יעקב ליצמן</w:t>
      </w:r>
      <w:r>
        <w:br/>
      </w:r>
      <w:r>
        <w:rPr>
          <w:rFonts w:hint="cs"/>
          <w:b/>
          <w:bCs/>
          <w:rtl/>
        </w:rPr>
        <w:t xml:space="preserve"> </w:t>
      </w:r>
      <w:r>
        <w:tab/>
      </w:r>
      <w:r>
        <w:tab/>
      </w:r>
      <w:r>
        <w:tab/>
      </w:r>
      <w:r>
        <w:tab/>
      </w:r>
      <w:r>
        <w:rPr>
          <w:rFonts w:hint="cs"/>
          <w:b/>
          <w:bCs/>
          <w:rtl/>
        </w:rPr>
        <w:t>איתן ברושי</w:t>
      </w:r>
      <w:r w:rsidR="008D01F4" w:rsidRPr="008D01F4">
        <w:rPr>
          <w:rFonts w:hint="cs"/>
          <w:b/>
          <w:bCs/>
          <w:rtl/>
        </w:rPr>
        <w:t xml:space="preserve"> </w:t>
      </w:r>
      <w:r w:rsidR="00906E97">
        <w:rPr>
          <w:b/>
          <w:bCs/>
          <w:rtl/>
        </w:rPr>
        <w:tab/>
      </w:r>
      <w:r w:rsidR="00906E97">
        <w:rPr>
          <w:b/>
          <w:bCs/>
          <w:rtl/>
        </w:rPr>
        <w:tab/>
      </w:r>
      <w:r w:rsidR="008D01F4">
        <w:rPr>
          <w:rFonts w:hint="cs"/>
          <w:b/>
          <w:bCs/>
          <w:rtl/>
        </w:rPr>
        <w:t>יעקב אשר</w:t>
      </w:r>
      <w:r>
        <w:br/>
      </w:r>
      <w:r>
        <w:rPr>
          <w:rFonts w:hint="cs"/>
          <w:b/>
          <w:bCs/>
          <w:rtl/>
        </w:rPr>
        <w:t xml:space="preserve"> </w:t>
      </w:r>
      <w:r>
        <w:tab/>
      </w:r>
      <w:r>
        <w:tab/>
      </w:r>
      <w:r>
        <w:tab/>
      </w:r>
      <w:r>
        <w:tab/>
      </w:r>
      <w:r>
        <w:rPr>
          <w:rFonts w:hint="cs"/>
          <w:b/>
          <w:bCs/>
          <w:rtl/>
        </w:rPr>
        <w:t>עליזה לביא</w:t>
      </w:r>
      <w:r w:rsidR="008D01F4" w:rsidRPr="008D01F4">
        <w:rPr>
          <w:rFonts w:hint="cs"/>
          <w:b/>
          <w:bCs/>
          <w:rtl/>
        </w:rPr>
        <w:t xml:space="preserve"> </w:t>
      </w:r>
      <w:r w:rsidR="00906E97">
        <w:rPr>
          <w:b/>
          <w:bCs/>
          <w:rtl/>
        </w:rPr>
        <w:tab/>
      </w:r>
      <w:r w:rsidR="00906E97">
        <w:rPr>
          <w:b/>
          <w:bCs/>
          <w:rtl/>
        </w:rPr>
        <w:tab/>
      </w:r>
      <w:r w:rsidR="008D01F4">
        <w:rPr>
          <w:rFonts w:hint="cs"/>
          <w:b/>
          <w:bCs/>
          <w:rtl/>
        </w:rPr>
        <w:t>אורלי לוי אבקסיס</w:t>
      </w:r>
      <w:r>
        <w:br/>
      </w:r>
      <w:r>
        <w:rPr>
          <w:rFonts w:hint="cs"/>
          <w:b/>
          <w:bCs/>
          <w:rtl/>
        </w:rPr>
        <w:t xml:space="preserve"> </w:t>
      </w:r>
      <w:r>
        <w:tab/>
      </w:r>
      <w:r>
        <w:tab/>
      </w:r>
      <w:r>
        <w:tab/>
      </w:r>
      <w:r>
        <w:tab/>
      </w:r>
      <w:r>
        <w:rPr>
          <w:rFonts w:hint="cs"/>
          <w:b/>
          <w:bCs/>
          <w:rtl/>
        </w:rPr>
        <w:t>יעל כהן-פארן</w:t>
      </w:r>
      <w:r w:rsidR="008D01F4" w:rsidRPr="008D01F4">
        <w:rPr>
          <w:rFonts w:hint="cs"/>
          <w:b/>
          <w:bCs/>
          <w:rtl/>
        </w:rPr>
        <w:t xml:space="preserve"> </w:t>
      </w:r>
      <w:r w:rsidR="00906E97">
        <w:rPr>
          <w:b/>
          <w:bCs/>
          <w:rtl/>
        </w:rPr>
        <w:tab/>
      </w:r>
      <w:r w:rsidR="00906E97">
        <w:rPr>
          <w:b/>
          <w:bCs/>
          <w:rtl/>
        </w:rPr>
        <w:tab/>
      </w:r>
      <w:r w:rsidR="008D01F4">
        <w:rPr>
          <w:rFonts w:hint="cs"/>
          <w:b/>
          <w:bCs/>
          <w:rtl/>
        </w:rPr>
        <w:t>יואב בן צור</w:t>
      </w:r>
      <w:r>
        <w:br/>
      </w:r>
      <w:r>
        <w:rPr>
          <w:rFonts w:hint="cs"/>
          <w:b/>
          <w:bCs/>
          <w:rtl/>
        </w:rPr>
        <w:t xml:space="preserve"> </w:t>
      </w:r>
      <w:r>
        <w:tab/>
      </w:r>
      <w:r>
        <w:tab/>
      </w:r>
      <w:r>
        <w:tab/>
      </w:r>
      <w:r>
        <w:tab/>
      </w:r>
      <w:r>
        <w:rPr>
          <w:rFonts w:hint="cs"/>
          <w:b/>
          <w:bCs/>
          <w:rtl/>
        </w:rPr>
        <w:t>ענת ברקו</w:t>
      </w:r>
      <w:r w:rsidR="008D01F4" w:rsidRPr="008D01F4">
        <w:rPr>
          <w:rFonts w:hint="cs"/>
          <w:b/>
          <w:bCs/>
          <w:rtl/>
        </w:rPr>
        <w:t xml:space="preserve"> </w:t>
      </w:r>
      <w:r w:rsidR="00906E97">
        <w:rPr>
          <w:b/>
          <w:bCs/>
          <w:rtl/>
        </w:rPr>
        <w:tab/>
      </w:r>
      <w:r w:rsidR="00906E97">
        <w:rPr>
          <w:b/>
          <w:bCs/>
          <w:rtl/>
        </w:rPr>
        <w:tab/>
      </w:r>
      <w:r w:rsidR="008D01F4">
        <w:rPr>
          <w:rFonts w:hint="cs"/>
          <w:b/>
          <w:bCs/>
          <w:rtl/>
        </w:rPr>
        <w:t>איילת נחמיאס ורבין</w:t>
      </w:r>
      <w:r>
        <w:br/>
      </w:r>
      <w:r>
        <w:rPr>
          <w:rFonts w:hint="cs"/>
          <w:b/>
          <w:bCs/>
          <w:rtl/>
        </w:rPr>
        <w:t xml:space="preserve"> </w:t>
      </w:r>
      <w:r>
        <w:tab/>
      </w:r>
      <w:r>
        <w:tab/>
      </w:r>
      <w:r>
        <w:tab/>
      </w:r>
      <w:r>
        <w:tab/>
      </w:r>
      <w:r>
        <w:rPr>
          <w:rFonts w:hint="cs"/>
          <w:b/>
          <w:bCs/>
          <w:rtl/>
        </w:rPr>
        <w:t>דוד ביטן</w:t>
      </w:r>
      <w:r w:rsidR="008D01F4" w:rsidRPr="008D01F4">
        <w:rPr>
          <w:rFonts w:hint="cs"/>
          <w:b/>
          <w:bCs/>
          <w:rtl/>
        </w:rPr>
        <w:t xml:space="preserve"> </w:t>
      </w:r>
      <w:r w:rsidR="00906E97">
        <w:rPr>
          <w:b/>
          <w:bCs/>
          <w:rtl/>
        </w:rPr>
        <w:tab/>
      </w:r>
      <w:r w:rsidR="00906E97">
        <w:rPr>
          <w:b/>
          <w:bCs/>
          <w:rtl/>
        </w:rPr>
        <w:tab/>
      </w:r>
      <w:r w:rsidR="008D01F4">
        <w:rPr>
          <w:rFonts w:hint="cs"/>
          <w:b/>
          <w:bCs/>
          <w:rtl/>
        </w:rPr>
        <w:t>יוסי יונה</w:t>
      </w:r>
      <w:r>
        <w:br/>
      </w:r>
      <w:r>
        <w:rPr>
          <w:rFonts w:hint="cs"/>
          <w:b/>
          <w:bCs/>
          <w:rtl/>
        </w:rPr>
        <w:t xml:space="preserve"> </w:t>
      </w:r>
      <w:r>
        <w:tab/>
      </w:r>
      <w:r>
        <w:tab/>
      </w:r>
      <w:r>
        <w:tab/>
      </w:r>
      <w:r>
        <w:tab/>
      </w:r>
      <w:bookmarkStart w:id="4" w:name="_GoBack"/>
      <w:bookmarkEnd w:id="4"/>
      <w:r>
        <w:rPr>
          <w:rFonts w:hint="cs"/>
          <w:b/>
          <w:bCs/>
          <w:rtl/>
        </w:rPr>
        <w:t>מכלוף מיקי זוהר</w:t>
      </w:r>
      <w:r w:rsidR="008D01F4" w:rsidRPr="008D01F4">
        <w:rPr>
          <w:rFonts w:hint="cs"/>
          <w:b/>
          <w:bCs/>
          <w:rtl/>
        </w:rPr>
        <w:t xml:space="preserve"> </w:t>
      </w:r>
      <w:r w:rsidR="00906E97">
        <w:rPr>
          <w:b/>
          <w:bCs/>
          <w:rtl/>
        </w:rPr>
        <w:tab/>
      </w:r>
      <w:r w:rsidR="008D01F4">
        <w:rPr>
          <w:rFonts w:hint="cs"/>
          <w:b/>
          <w:bCs/>
          <w:rtl/>
        </w:rPr>
        <w:t>יעל גרמן</w:t>
      </w:r>
      <w:r>
        <w:rPr>
          <w:rFonts w:hint="cs"/>
          <w:b/>
          <w:bCs/>
          <w:rtl/>
        </w:rPr>
        <w:t xml:space="preserve"> </w:t>
      </w:r>
      <w:r>
        <w:tab/>
      </w:r>
      <w:r>
        <w:tab/>
      </w:r>
      <w:r>
        <w:tab/>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0311C308" w:rsidR="00E13C27" w:rsidRPr="00E06736" w:rsidRDefault="00965E2F" w:rsidP="00965E2F">
      <w:pPr>
        <w:pStyle w:val="David"/>
        <w:spacing w:before="0" w:line="240" w:lineRule="auto"/>
        <w:ind w:left="720"/>
        <w:rPr>
          <w:rtl/>
        </w:rPr>
      </w:pPr>
      <w:r>
        <w:t xml:space="preserve">         </w:t>
      </w:r>
      <w:r w:rsidR="00904591">
        <w:t xml:space="preserve">                                            </w:t>
      </w:r>
      <w:bookmarkStart w:id="5" w:name="Private_Number"/>
      <w:r w:rsidR="00904591">
        <w:rPr>
          <w:rFonts w:hint="cs"/>
          <w:rtl/>
        </w:rPr>
        <w:t>פ/4952/20</w:t>
      </w:r>
      <w:bookmarkEnd w:id="5"/>
    </w:p>
    <w:p w14:paraId="7F6961AC" w14:textId="77777777" w:rsidR="00E13C27" w:rsidRDefault="00E13C27" w:rsidP="00E13C27">
      <w:pPr>
        <w:spacing w:before="0" w:line="360" w:lineRule="auto"/>
        <w:ind w:left="2880" w:firstLine="720"/>
        <w:rPr>
          <w:rFonts w:cs="David"/>
          <w:sz w:val="26"/>
          <w:szCs w:val="26"/>
          <w:rtl/>
        </w:rPr>
      </w:pPr>
    </w:p>
    <w:p w14:paraId="372F0E9F" w14:textId="03C35AC8" w:rsidR="006A30A6" w:rsidRPr="006A30A6" w:rsidRDefault="006A30A6" w:rsidP="00D67EC6">
      <w:pPr>
        <w:snapToGrid w:val="0"/>
        <w:spacing w:before="240" w:line="360" w:lineRule="auto"/>
        <w:ind w:firstLine="0"/>
        <w:jc w:val="center"/>
        <w:rPr>
          <w:rFonts w:ascii="Arial" w:eastAsia="Arial Unicode MS" w:hAnsi="Arial" w:cs="David"/>
          <w:b/>
          <w:bCs/>
          <w:snapToGrid w:val="0"/>
          <w:spacing w:val="0"/>
          <w:sz w:val="20"/>
          <w:szCs w:val="26"/>
          <w:rtl/>
        </w:rPr>
      </w:pPr>
      <w:r w:rsidRPr="006A30A6">
        <w:rPr>
          <w:rFonts w:ascii="Arial" w:eastAsia="Arial Unicode MS" w:hAnsi="Arial" w:cs="David"/>
          <w:b/>
          <w:bCs/>
          <w:snapToGrid w:val="0"/>
          <w:spacing w:val="0"/>
          <w:sz w:val="20"/>
          <w:szCs w:val="26"/>
          <w:rtl/>
        </w:rPr>
        <w:t>הצעת חו</w:t>
      </w:r>
      <w:r w:rsidRPr="006A30A6">
        <w:rPr>
          <w:rFonts w:ascii="Arial" w:eastAsia="Arial Unicode MS" w:hAnsi="Arial" w:cs="David" w:hint="cs"/>
          <w:b/>
          <w:bCs/>
          <w:snapToGrid w:val="0"/>
          <w:spacing w:val="0"/>
          <w:sz w:val="20"/>
          <w:szCs w:val="26"/>
          <w:rtl/>
        </w:rPr>
        <w:t xml:space="preserve">ק גיל פרישה (תיקון </w:t>
      </w:r>
      <w:r w:rsidRPr="006A30A6">
        <w:rPr>
          <w:rFonts w:ascii="Arial" w:eastAsia="Arial Unicode MS" w:hAnsi="Arial" w:cs="David" w:hint="eastAsia"/>
          <w:b/>
          <w:bCs/>
          <w:snapToGrid w:val="0"/>
          <w:spacing w:val="0"/>
          <w:sz w:val="20"/>
          <w:szCs w:val="26"/>
          <w:rtl/>
        </w:rPr>
        <w:t>–</w:t>
      </w:r>
      <w:r w:rsidRPr="006A30A6">
        <w:rPr>
          <w:rFonts w:ascii="Arial" w:eastAsia="Arial Unicode MS" w:hAnsi="Arial" w:cs="David" w:hint="cs"/>
          <w:b/>
          <w:bCs/>
          <w:snapToGrid w:val="0"/>
          <w:spacing w:val="0"/>
          <w:sz w:val="20"/>
          <w:szCs w:val="26"/>
          <w:rtl/>
        </w:rPr>
        <w:t xml:space="preserve"> העלאת גיל הפרישה לנשים וקביעת צעדים תומכים לנשים בגילאי העבודה), התשע"ח</w:t>
      </w:r>
      <w:r w:rsidRPr="006A30A6">
        <w:rPr>
          <w:rFonts w:ascii="Arial" w:eastAsia="Arial Unicode MS" w:hAnsi="Arial" w:cs="David" w:hint="eastAsia"/>
          <w:b/>
          <w:bCs/>
          <w:snapToGrid w:val="0"/>
          <w:spacing w:val="0"/>
          <w:sz w:val="20"/>
          <w:szCs w:val="26"/>
          <w:rtl/>
        </w:rPr>
        <w:t>–</w:t>
      </w:r>
      <w:r w:rsidRPr="006A30A6">
        <w:rPr>
          <w:rFonts w:ascii="Arial" w:eastAsia="Arial Unicode MS" w:hAnsi="Arial" w:cs="David" w:hint="cs"/>
          <w:b/>
          <w:bCs/>
          <w:snapToGrid w:val="0"/>
          <w:spacing w:val="0"/>
          <w:sz w:val="20"/>
          <w:szCs w:val="26"/>
          <w:rtl/>
        </w:rPr>
        <w:t>201</w:t>
      </w:r>
      <w:r w:rsidR="00D67EC6">
        <w:rPr>
          <w:rFonts w:ascii="Arial" w:eastAsia="Arial Unicode MS" w:hAnsi="Arial" w:cs="David" w:hint="cs"/>
          <w:b/>
          <w:bCs/>
          <w:snapToGrid w:val="0"/>
          <w:spacing w:val="0"/>
          <w:sz w:val="20"/>
          <w:szCs w:val="26"/>
          <w:rtl/>
        </w:rPr>
        <w:t>8</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4649"/>
      </w:tblGrid>
      <w:tr w:rsidR="006A30A6" w:rsidRPr="006A30A6" w:rsidDel="00264C6B" w14:paraId="1ACFF6B3" w14:textId="77777777" w:rsidTr="003563EF">
        <w:trPr>
          <w:cantSplit/>
        </w:trPr>
        <w:tc>
          <w:tcPr>
            <w:tcW w:w="1869" w:type="dxa"/>
          </w:tcPr>
          <w:p w14:paraId="2350BB2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ביטול פרק ד'</w:t>
            </w:r>
          </w:p>
        </w:tc>
        <w:tc>
          <w:tcPr>
            <w:tcW w:w="624" w:type="dxa"/>
          </w:tcPr>
          <w:p w14:paraId="6B27EB3B"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1.</w:t>
            </w:r>
          </w:p>
        </w:tc>
        <w:tc>
          <w:tcPr>
            <w:tcW w:w="7145" w:type="dxa"/>
            <w:gridSpan w:val="5"/>
          </w:tcPr>
          <w:p w14:paraId="75781524"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בחוק גיל פרישה, התשס"ד</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2004</w:t>
            </w:r>
            <w:r w:rsidRPr="006A30A6">
              <w:rPr>
                <w:rFonts w:ascii="Arial" w:eastAsia="Arial Unicode MS" w:hAnsi="Arial" w:cs="David"/>
                <w:snapToGrid w:val="0"/>
                <w:spacing w:val="0"/>
                <w:sz w:val="20"/>
                <w:szCs w:val="26"/>
                <w:vertAlign w:val="superscript"/>
                <w:rtl/>
              </w:rPr>
              <w:footnoteReference w:id="2"/>
            </w:r>
            <w:r w:rsidRPr="006A30A6">
              <w:rPr>
                <w:rFonts w:ascii="Arial" w:eastAsia="Arial Unicode MS" w:hAnsi="Arial" w:cs="David" w:hint="cs"/>
                <w:snapToGrid w:val="0"/>
                <w:spacing w:val="0"/>
                <w:sz w:val="20"/>
                <w:szCs w:val="26"/>
                <w:rtl/>
              </w:rPr>
              <w:t xml:space="preserve"> (להלן </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 xml:space="preserve"> החוק העיקרי), פרק ד'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בטל. </w:t>
            </w:r>
          </w:p>
        </w:tc>
      </w:tr>
      <w:tr w:rsidR="006A30A6" w:rsidRPr="006A30A6" w:rsidDel="00264C6B" w14:paraId="044DBB02" w14:textId="77777777" w:rsidTr="003563EF">
        <w:trPr>
          <w:cantSplit/>
        </w:trPr>
        <w:tc>
          <w:tcPr>
            <w:tcW w:w="1869" w:type="dxa"/>
          </w:tcPr>
          <w:p w14:paraId="3737E4CE"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הוספת סעיף 9א</w:t>
            </w:r>
          </w:p>
        </w:tc>
        <w:tc>
          <w:tcPr>
            <w:tcW w:w="624" w:type="dxa"/>
          </w:tcPr>
          <w:p w14:paraId="76517A04"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2.</w:t>
            </w:r>
          </w:p>
        </w:tc>
        <w:tc>
          <w:tcPr>
            <w:tcW w:w="7145" w:type="dxa"/>
            <w:gridSpan w:val="5"/>
          </w:tcPr>
          <w:p w14:paraId="2EC2DAB9" w14:textId="1466FEEA" w:rsidR="006A30A6" w:rsidRPr="006A30A6" w:rsidRDefault="006A30A6"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 xml:space="preserve">אחרי סעיף </w:t>
            </w:r>
            <w:r w:rsidR="00906E97">
              <w:rPr>
                <w:rFonts w:ascii="Arial" w:eastAsia="Arial Unicode MS" w:hAnsi="Arial" w:cs="David" w:hint="cs"/>
                <w:snapToGrid w:val="0"/>
                <w:spacing w:val="0"/>
                <w:sz w:val="20"/>
                <w:szCs w:val="26"/>
                <w:rtl/>
              </w:rPr>
              <w:t xml:space="preserve">9 </w:t>
            </w:r>
            <w:r w:rsidRPr="006A30A6">
              <w:rPr>
                <w:rFonts w:ascii="Arial" w:eastAsia="Arial Unicode MS" w:hAnsi="Arial" w:cs="David" w:hint="cs"/>
                <w:snapToGrid w:val="0"/>
                <w:spacing w:val="0"/>
                <w:sz w:val="20"/>
                <w:szCs w:val="26"/>
                <w:rtl/>
              </w:rPr>
              <w:t>לחוק העיקרי יבוא:</w:t>
            </w:r>
          </w:p>
        </w:tc>
      </w:tr>
      <w:tr w:rsidR="006A30A6" w:rsidRPr="006A30A6" w14:paraId="49E75197" w14:textId="77777777" w:rsidTr="003563EF">
        <w:trPr>
          <w:cantSplit/>
        </w:trPr>
        <w:tc>
          <w:tcPr>
            <w:tcW w:w="1869" w:type="dxa"/>
          </w:tcPr>
          <w:p w14:paraId="350C005D"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876B1F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6C9579A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"מחקר לעניין העלאת גיל הפרישה</w:t>
            </w:r>
          </w:p>
        </w:tc>
        <w:tc>
          <w:tcPr>
            <w:tcW w:w="624" w:type="dxa"/>
          </w:tcPr>
          <w:p w14:paraId="3D69460D"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9א.</w:t>
            </w:r>
          </w:p>
        </w:tc>
        <w:tc>
          <w:tcPr>
            <w:tcW w:w="4649" w:type="dxa"/>
          </w:tcPr>
          <w:p w14:paraId="0AB12BBB" w14:textId="3C1A7FDA"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החל משנת 2020 ובכל שנה לאחר מכן, המוסד לביטוח לאומי יבחן במחקר את השפעת העלאת גיל הפרישה לנשים על נשים שגיל הפרישה שלהן עלה החל משנת 2018, בין היתר לגבי מספר הנשים שהמשיכו לעבוד עד גיל הפרישה, מספר הנשים שהפסיקו לעבוד לפני הגיען לגיל הפרישה והסיבות לכך, מספר הנשים שהמשיכו לעבוד לאחר הגיען לגיל הפרישה, רמת הכנסתן של הנשים ערב פרישתן מעבודה ורמת הכנסתן לאחר פרישתן מהעבודה ובכלל זה מקורות הכנסתן, רמת הכנסתן ככל שהן המשיכו לעבוד, וצעדים משלימים לעידוד העסקתן של נשים שטרם ה</w:t>
            </w:r>
            <w:r w:rsidR="00F32A59">
              <w:rPr>
                <w:rFonts w:ascii="Arial" w:eastAsia="Arial Unicode MS" w:hAnsi="Arial" w:cs="David" w:hint="cs"/>
                <w:snapToGrid w:val="0"/>
                <w:spacing w:val="0"/>
                <w:sz w:val="20"/>
                <w:szCs w:val="26"/>
                <w:rtl/>
              </w:rPr>
              <w:t>גיעו לגיל פרישה ומעוניינות בכך.</w:t>
            </w:r>
          </w:p>
        </w:tc>
      </w:tr>
      <w:tr w:rsidR="006A30A6" w:rsidRPr="006A30A6" w14:paraId="49392CEB" w14:textId="77777777" w:rsidTr="003563EF">
        <w:trPr>
          <w:cantSplit/>
        </w:trPr>
        <w:tc>
          <w:tcPr>
            <w:tcW w:w="1869" w:type="dxa"/>
          </w:tcPr>
          <w:p w14:paraId="4A31F196"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790DD84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232E7B34" w14:textId="77777777" w:rsidR="006A30A6" w:rsidRPr="006A30A6" w:rsidRDefault="006A30A6" w:rsidP="006A30A6">
            <w:pPr>
              <w:keepLines/>
              <w:tabs>
                <w:tab w:val="left" w:pos="624"/>
                <w:tab w:val="left" w:pos="1247"/>
              </w:tabs>
              <w:snapToGrid w:val="0"/>
              <w:spacing w:before="0" w:line="360" w:lineRule="auto"/>
              <w:ind w:firstLine="0"/>
              <w:jc w:val="center"/>
              <w:rPr>
                <w:rFonts w:ascii="Arial" w:eastAsia="Arial Unicode MS" w:hAnsi="Arial" w:cs="David"/>
                <w:b/>
                <w:bCs/>
                <w:snapToGrid w:val="0"/>
                <w:spacing w:val="0"/>
                <w:sz w:val="20"/>
                <w:szCs w:val="26"/>
                <w:rtl/>
              </w:rPr>
            </w:pPr>
            <w:r w:rsidRPr="006A30A6">
              <w:rPr>
                <w:rFonts w:ascii="Arial" w:eastAsia="Arial Unicode MS" w:hAnsi="Arial" w:cs="David" w:hint="cs"/>
                <w:b/>
                <w:bCs/>
                <w:snapToGrid w:val="0"/>
                <w:spacing w:val="0"/>
                <w:sz w:val="20"/>
                <w:szCs w:val="26"/>
                <w:rtl/>
              </w:rPr>
              <w:t>פרק ד'1: הכשרות מקצועיות לנשים</w:t>
            </w:r>
          </w:p>
        </w:tc>
      </w:tr>
      <w:tr w:rsidR="006A30A6" w:rsidRPr="006A30A6" w14:paraId="5E9E557F" w14:textId="77777777" w:rsidTr="003563EF">
        <w:trPr>
          <w:cantSplit/>
        </w:trPr>
        <w:tc>
          <w:tcPr>
            <w:tcW w:w="1869" w:type="dxa"/>
          </w:tcPr>
          <w:p w14:paraId="317D0199"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3B31656"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286CAD3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הכשרה מקצועית לאישה בגיל 55 ומעלה</w:t>
            </w:r>
          </w:p>
        </w:tc>
        <w:tc>
          <w:tcPr>
            <w:tcW w:w="624" w:type="dxa"/>
          </w:tcPr>
          <w:p w14:paraId="6C3E1E3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9ב.</w:t>
            </w:r>
          </w:p>
        </w:tc>
        <w:tc>
          <w:tcPr>
            <w:tcW w:w="4649" w:type="dxa"/>
          </w:tcPr>
          <w:p w14:paraId="261A6B97"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(א)</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אישה שהגיעה לגיל 55 וטרם הגיעה לגיל הפרישה זכאית לקבל מאת המדינה תכנית להכשרה מקצועית, אף אם היא עובדת.</w:t>
            </w:r>
          </w:p>
        </w:tc>
      </w:tr>
      <w:tr w:rsidR="006A30A6" w:rsidRPr="006A30A6" w14:paraId="3C45671A" w14:textId="77777777" w:rsidTr="003563EF">
        <w:trPr>
          <w:cantSplit/>
        </w:trPr>
        <w:tc>
          <w:tcPr>
            <w:tcW w:w="1869" w:type="dxa"/>
          </w:tcPr>
          <w:p w14:paraId="7B42DA93"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EC839C1"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25C80CB"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1C5EA3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0B77DEE"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A66B22F"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9" w:type="dxa"/>
          </w:tcPr>
          <w:p w14:paraId="70CE7AAE"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(ב)</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 xml:space="preserve">ההכשרות המקצועיות יינתנו לאישה כשוברים לפי בחירת האישה, ובהשתתפות כספית של המדינה ושל האישה; השתתפות המדינה לעניין זה לא תפחת מ-75% מעלות ההכשרה או 9,000 שקלים חדשים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לפי הגבוה.</w:t>
            </w:r>
          </w:p>
        </w:tc>
      </w:tr>
      <w:tr w:rsidR="006A30A6" w:rsidRPr="006A30A6" w14:paraId="0E981487" w14:textId="77777777" w:rsidTr="003563EF">
        <w:trPr>
          <w:cantSplit/>
        </w:trPr>
        <w:tc>
          <w:tcPr>
            <w:tcW w:w="1869" w:type="dxa"/>
          </w:tcPr>
          <w:p w14:paraId="4D91124F"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1782D9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0A79482E"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הכשרה מקצועית לאישה בגיל 45 ושטרם מלאו לה 55 שנים</w:t>
            </w:r>
          </w:p>
        </w:tc>
        <w:tc>
          <w:tcPr>
            <w:tcW w:w="624" w:type="dxa"/>
          </w:tcPr>
          <w:p w14:paraId="69D2D623"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9ג.</w:t>
            </w:r>
          </w:p>
        </w:tc>
        <w:tc>
          <w:tcPr>
            <w:tcW w:w="4649" w:type="dxa"/>
          </w:tcPr>
          <w:p w14:paraId="586DFD37" w14:textId="017A73A2"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(א)</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אישה שהגיעה לגיל 45 וטרם מלאו לה 55 שנים, תהיה זכאית להכשרות מקצועיות כאמור בסעי</w:t>
            </w:r>
            <w:r w:rsidR="00E80A8C">
              <w:rPr>
                <w:rFonts w:ascii="Arial" w:eastAsia="Arial Unicode MS" w:hAnsi="Arial" w:cs="David" w:hint="cs"/>
                <w:snapToGrid w:val="0"/>
                <w:spacing w:val="0"/>
                <w:sz w:val="20"/>
                <w:szCs w:val="26"/>
                <w:rtl/>
              </w:rPr>
              <w:t xml:space="preserve">ף 9ב, ובלבד שלא עבדה 18 חודשים </w:t>
            </w:r>
            <w:r w:rsidRPr="006A30A6">
              <w:rPr>
                <w:rFonts w:ascii="Arial" w:eastAsia="Arial Unicode MS" w:hAnsi="Arial" w:cs="David" w:hint="cs"/>
                <w:snapToGrid w:val="0"/>
                <w:spacing w:val="0"/>
                <w:sz w:val="20"/>
                <w:szCs w:val="26"/>
                <w:rtl/>
              </w:rPr>
              <w:t>לפחות, עובר לתחילת ההכשרה המקצועית.</w:t>
            </w:r>
          </w:p>
        </w:tc>
      </w:tr>
      <w:tr w:rsidR="006A30A6" w:rsidRPr="006A30A6" w14:paraId="50C12560" w14:textId="77777777" w:rsidTr="003563EF">
        <w:trPr>
          <w:cantSplit/>
        </w:trPr>
        <w:tc>
          <w:tcPr>
            <w:tcW w:w="1869" w:type="dxa"/>
          </w:tcPr>
          <w:p w14:paraId="7B5847F2"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4CD0501"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4845B507"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 xml:space="preserve">מחקר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פרק ד'1</w:t>
            </w:r>
          </w:p>
        </w:tc>
        <w:tc>
          <w:tcPr>
            <w:tcW w:w="624" w:type="dxa"/>
          </w:tcPr>
          <w:p w14:paraId="353EBA31"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9ד.</w:t>
            </w:r>
          </w:p>
        </w:tc>
        <w:tc>
          <w:tcPr>
            <w:tcW w:w="4649" w:type="dxa"/>
          </w:tcPr>
          <w:p w14:paraId="4279ABD0"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החל משנת 2020 ובכל שנה לאחר מכן, משרד הכלכלה והתעשייה יבחן במחקר את מידת ההשתתפות של נשים בהכשרות המקצועיות הניתנות לפי סעיף זה, את מידת השתתפותן של הנשים בשוק העבודה לאחר שהשתתפו בהכשרות המקצועיות ואת רמת הכנסתן, תוך השוואה בין היתר לרמת הכנסתן לפני שהשתתפו בהכשרות מקצועיות."</w:t>
            </w:r>
          </w:p>
        </w:tc>
      </w:tr>
      <w:tr w:rsidR="006A30A6" w:rsidRPr="006A30A6" w14:paraId="02336797" w14:textId="77777777" w:rsidTr="003563EF">
        <w:trPr>
          <w:cantSplit/>
        </w:trPr>
        <w:tc>
          <w:tcPr>
            <w:tcW w:w="1869" w:type="dxa"/>
          </w:tcPr>
          <w:p w14:paraId="1CC3B36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הוספת סעיף 12א</w:t>
            </w:r>
          </w:p>
        </w:tc>
        <w:tc>
          <w:tcPr>
            <w:tcW w:w="624" w:type="dxa"/>
          </w:tcPr>
          <w:p w14:paraId="1AC68D53"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3.</w:t>
            </w:r>
          </w:p>
        </w:tc>
        <w:tc>
          <w:tcPr>
            <w:tcW w:w="7145" w:type="dxa"/>
            <w:gridSpan w:val="5"/>
          </w:tcPr>
          <w:p w14:paraId="4E287C3F"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אחרי סעיף 12 לחוק העיקרי יבוא:</w:t>
            </w:r>
          </w:p>
        </w:tc>
      </w:tr>
      <w:tr w:rsidR="006A30A6" w:rsidRPr="006A30A6" w14:paraId="07ECBFAE" w14:textId="77777777" w:rsidTr="003563EF">
        <w:trPr>
          <w:cantSplit/>
        </w:trPr>
        <w:tc>
          <w:tcPr>
            <w:tcW w:w="1869" w:type="dxa"/>
          </w:tcPr>
          <w:p w14:paraId="0919B226"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9D40851"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164FD1DA"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"הסכם לעניין מקצוע שוחק</w:t>
            </w:r>
          </w:p>
        </w:tc>
        <w:tc>
          <w:tcPr>
            <w:tcW w:w="624" w:type="dxa"/>
          </w:tcPr>
          <w:p w14:paraId="0F3258DD"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12א.</w:t>
            </w:r>
          </w:p>
        </w:tc>
        <w:tc>
          <w:tcPr>
            <w:tcW w:w="4649" w:type="dxa"/>
          </w:tcPr>
          <w:p w14:paraId="1987C066" w14:textId="1A6E28AA"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 xml:space="preserve">בהסכם לעניין פרישת עובדים שהמדינה צד לו כמעביד ייקבעו תנאי פרישה מועדפים לעובד במקצוע שוחק לעומת עובדים אחרים באותו מקום עבודה, אף אם עובדים אלה אינם צד לאותו הסכם; בסעיף זה, "מקצוע שוחק" </w:t>
            </w:r>
            <w:r w:rsidRPr="006A30A6">
              <w:rPr>
                <w:rFonts w:ascii="Arial" w:eastAsia="Arial Unicode MS" w:hAnsi="Arial" w:cs="David" w:hint="eastAsia"/>
                <w:snapToGrid w:val="0"/>
                <w:spacing w:val="0"/>
                <w:sz w:val="20"/>
                <w:szCs w:val="26"/>
                <w:rtl/>
              </w:rPr>
              <w:t>–</w:t>
            </w:r>
            <w:r w:rsidR="00AA7169">
              <w:rPr>
                <w:rFonts w:ascii="Arial" w:eastAsia="Arial Unicode MS" w:hAnsi="Arial" w:cs="David" w:hint="cs"/>
                <w:snapToGrid w:val="0"/>
                <w:spacing w:val="0"/>
                <w:sz w:val="20"/>
                <w:szCs w:val="26"/>
                <w:rtl/>
              </w:rPr>
              <w:t xml:space="preserve"> מקצוע שהעבודה בו מתאפיינת</w:t>
            </w:r>
            <w:r w:rsidRPr="006A30A6">
              <w:rPr>
                <w:rFonts w:ascii="Arial" w:eastAsia="Arial Unicode MS" w:hAnsi="Arial" w:cs="David" w:hint="cs"/>
                <w:snapToGrid w:val="0"/>
                <w:spacing w:val="0"/>
                <w:sz w:val="20"/>
                <w:szCs w:val="26"/>
                <w:rtl/>
              </w:rPr>
              <w:t xml:space="preserve"> בשחיקה פיזית או מנטלית ניכרת."</w:t>
            </w:r>
          </w:p>
        </w:tc>
      </w:tr>
      <w:tr w:rsidR="006A30A6" w:rsidRPr="006A30A6" w:rsidDel="00264C6B" w14:paraId="03D8473B" w14:textId="77777777" w:rsidTr="003563EF">
        <w:trPr>
          <w:cantSplit/>
        </w:trPr>
        <w:tc>
          <w:tcPr>
            <w:tcW w:w="1869" w:type="dxa"/>
          </w:tcPr>
          <w:p w14:paraId="208239A6" w14:textId="77777777" w:rsidR="006A30A6" w:rsidRPr="006A30A6" w:rsidDel="00264C6B"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תיקון התוספת</w:t>
            </w:r>
          </w:p>
        </w:tc>
        <w:tc>
          <w:tcPr>
            <w:tcW w:w="624" w:type="dxa"/>
          </w:tcPr>
          <w:p w14:paraId="3EEA5B10" w14:textId="77777777" w:rsidR="006A30A6" w:rsidRPr="006A30A6" w:rsidDel="00264C6B"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4.</w:t>
            </w:r>
          </w:p>
        </w:tc>
        <w:tc>
          <w:tcPr>
            <w:tcW w:w="7145" w:type="dxa"/>
            <w:gridSpan w:val="5"/>
          </w:tcPr>
          <w:p w14:paraId="3FB452C6" w14:textId="77777777" w:rsidR="006A30A6" w:rsidRPr="006A30A6" w:rsidDel="00264C6B"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בתוספת לחוק העיקרי, בחלק ב', במקום הקטע החל במילים "מרס 1956" עד המילים "יולי 1959 ואילך     64" יבוא:</w:t>
            </w:r>
          </w:p>
        </w:tc>
      </w:tr>
      <w:tr w:rsidR="006A30A6" w:rsidRPr="006A30A6" w:rsidDel="00264C6B" w14:paraId="2B85C977" w14:textId="77777777" w:rsidTr="003563EF">
        <w:trPr>
          <w:cantSplit/>
        </w:trPr>
        <w:tc>
          <w:tcPr>
            <w:tcW w:w="1869" w:type="dxa"/>
          </w:tcPr>
          <w:p w14:paraId="1B3158FC"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4F2F7803" w14:textId="77777777" w:rsidR="006A30A6" w:rsidRPr="006A30A6" w:rsidDel="00264C6B"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6B1BFB55"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"מרס 1956 עד פברואר 1957    62 ו-2 חודשים</w:t>
            </w:r>
          </w:p>
        </w:tc>
      </w:tr>
      <w:tr w:rsidR="006A30A6" w:rsidRPr="006A30A6" w14:paraId="1CCE22A6" w14:textId="77777777" w:rsidTr="003563EF">
        <w:trPr>
          <w:cantSplit/>
        </w:trPr>
        <w:tc>
          <w:tcPr>
            <w:tcW w:w="1869" w:type="dxa"/>
          </w:tcPr>
          <w:p w14:paraId="468EAF20"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AE130BE"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5C17EC39"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1957 עד פברואר 1958      62 ו-5 חודשים</w:t>
            </w:r>
          </w:p>
        </w:tc>
      </w:tr>
      <w:tr w:rsidR="006A30A6" w:rsidRPr="006A30A6" w14:paraId="44CCC354" w14:textId="77777777" w:rsidTr="003563EF">
        <w:trPr>
          <w:cantSplit/>
        </w:trPr>
        <w:tc>
          <w:tcPr>
            <w:tcW w:w="1869" w:type="dxa"/>
          </w:tcPr>
          <w:p w14:paraId="2B13E8E9"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5DB0BBC"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2F5E0403"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1958 עד פברואר 1959      62 ו-7 חודשים</w:t>
            </w:r>
          </w:p>
        </w:tc>
      </w:tr>
      <w:tr w:rsidR="006A30A6" w:rsidRPr="006A30A6" w14:paraId="65FB5EAE" w14:textId="77777777" w:rsidTr="003563EF">
        <w:trPr>
          <w:cantSplit/>
        </w:trPr>
        <w:tc>
          <w:tcPr>
            <w:tcW w:w="1869" w:type="dxa"/>
          </w:tcPr>
          <w:p w14:paraId="7E6E37FE"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566FA3E"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3A9AF6D0"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1959 עד פברואר 1960      62 ו-10 חודשים</w:t>
            </w:r>
          </w:p>
        </w:tc>
      </w:tr>
      <w:tr w:rsidR="006A30A6" w:rsidRPr="006A30A6" w14:paraId="2E5FA649" w14:textId="77777777" w:rsidTr="003563EF">
        <w:trPr>
          <w:cantSplit/>
        </w:trPr>
        <w:tc>
          <w:tcPr>
            <w:tcW w:w="1869" w:type="dxa"/>
          </w:tcPr>
          <w:p w14:paraId="776C203C"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A1D94A3"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2BDBE7FD"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 xml:space="preserve">מרס 1960 עד פברואר 1961      63 </w:t>
            </w:r>
          </w:p>
        </w:tc>
      </w:tr>
      <w:tr w:rsidR="006A30A6" w:rsidRPr="006A30A6" w14:paraId="46C228C0" w14:textId="77777777" w:rsidTr="003563EF">
        <w:trPr>
          <w:cantSplit/>
        </w:trPr>
        <w:tc>
          <w:tcPr>
            <w:tcW w:w="1869" w:type="dxa"/>
          </w:tcPr>
          <w:p w14:paraId="267AFC0A"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723C3FA"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12223E71"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1961 עד פברואר 1962      63 ו-3 חודשים</w:t>
            </w:r>
          </w:p>
        </w:tc>
      </w:tr>
      <w:tr w:rsidR="006A30A6" w:rsidRPr="006A30A6" w14:paraId="13683C06" w14:textId="77777777" w:rsidTr="003563EF">
        <w:trPr>
          <w:cantSplit/>
        </w:trPr>
        <w:tc>
          <w:tcPr>
            <w:tcW w:w="1869" w:type="dxa"/>
          </w:tcPr>
          <w:p w14:paraId="21A23454"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6BE478A"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2CCB6ED9"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1962 עד פברואר 1963      63 ו-5 חודשים</w:t>
            </w:r>
          </w:p>
        </w:tc>
      </w:tr>
      <w:tr w:rsidR="006A30A6" w:rsidRPr="006A30A6" w14:paraId="795DDAB8" w14:textId="77777777" w:rsidTr="003563EF">
        <w:trPr>
          <w:cantSplit/>
        </w:trPr>
        <w:tc>
          <w:tcPr>
            <w:tcW w:w="1869" w:type="dxa"/>
          </w:tcPr>
          <w:p w14:paraId="20D366B5"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917EDE4"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560E3040"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1963 עד פברואר 1964      63 ו-8 חודשים</w:t>
            </w:r>
          </w:p>
        </w:tc>
      </w:tr>
      <w:tr w:rsidR="006A30A6" w:rsidRPr="006A30A6" w14:paraId="0CC83B01" w14:textId="77777777" w:rsidTr="003563EF">
        <w:trPr>
          <w:cantSplit/>
        </w:trPr>
        <w:tc>
          <w:tcPr>
            <w:tcW w:w="1869" w:type="dxa"/>
          </w:tcPr>
          <w:p w14:paraId="209CAC06"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5801A4D"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0E7DD7B0"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1964 עד פברואר 1965      63 ו-10 חודשים</w:t>
            </w:r>
          </w:p>
        </w:tc>
      </w:tr>
      <w:tr w:rsidR="006A30A6" w:rsidRPr="006A30A6" w14:paraId="663F0F19" w14:textId="77777777" w:rsidTr="003563EF">
        <w:trPr>
          <w:cantSplit/>
        </w:trPr>
        <w:tc>
          <w:tcPr>
            <w:tcW w:w="1869" w:type="dxa"/>
          </w:tcPr>
          <w:p w14:paraId="788C547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A90BDBC"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5DCB95CF" w14:textId="74E94F94"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מרס 1965 ואילך                        64"</w:t>
            </w:r>
            <w:r w:rsidR="00906E97">
              <w:rPr>
                <w:rFonts w:ascii="Arial" w:eastAsia="Arial Unicode MS" w:hAnsi="Arial" w:cs="David" w:hint="cs"/>
                <w:snapToGrid w:val="0"/>
                <w:spacing w:val="0"/>
                <w:sz w:val="20"/>
                <w:szCs w:val="26"/>
                <w:rtl/>
              </w:rPr>
              <w:t>.</w:t>
            </w:r>
          </w:p>
        </w:tc>
      </w:tr>
      <w:tr w:rsidR="006A30A6" w:rsidRPr="006A30A6" w14:paraId="1D50761B" w14:textId="77777777" w:rsidTr="003563EF">
        <w:trPr>
          <w:cantSplit/>
          <w:trHeight w:val="60"/>
        </w:trPr>
        <w:tc>
          <w:tcPr>
            <w:tcW w:w="1869" w:type="dxa"/>
          </w:tcPr>
          <w:p w14:paraId="1C331750"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תיקון חוק עסקאות גופים ציבוריים</w:t>
            </w:r>
          </w:p>
        </w:tc>
        <w:tc>
          <w:tcPr>
            <w:tcW w:w="624" w:type="dxa"/>
          </w:tcPr>
          <w:p w14:paraId="6F121ABF"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5.</w:t>
            </w:r>
          </w:p>
        </w:tc>
        <w:tc>
          <w:tcPr>
            <w:tcW w:w="7145" w:type="dxa"/>
            <w:gridSpan w:val="5"/>
          </w:tcPr>
          <w:p w14:paraId="2499048E"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בחוק עסקאות גופים ציבוריים, התשל"ו</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1976</w:t>
            </w:r>
            <w:r w:rsidRPr="006A30A6">
              <w:rPr>
                <w:rFonts w:ascii="Arial" w:eastAsia="Arial Unicode MS" w:hAnsi="Arial" w:cs="David"/>
                <w:snapToGrid w:val="0"/>
                <w:spacing w:val="0"/>
                <w:sz w:val="20"/>
                <w:szCs w:val="26"/>
                <w:vertAlign w:val="superscript"/>
                <w:rtl/>
              </w:rPr>
              <w:footnoteReference w:id="3"/>
            </w:r>
            <w:r w:rsidRPr="006A30A6">
              <w:rPr>
                <w:rFonts w:ascii="Arial" w:eastAsia="Arial Unicode MS" w:hAnsi="Arial" w:cs="David" w:hint="cs"/>
                <w:snapToGrid w:val="0"/>
                <w:spacing w:val="0"/>
                <w:sz w:val="20"/>
                <w:szCs w:val="26"/>
                <w:rtl/>
              </w:rPr>
              <w:t xml:space="preserve">, בסעיף 2ב </w:t>
            </w:r>
            <w:r w:rsidRPr="006A30A6">
              <w:rPr>
                <w:rFonts w:ascii="Arial" w:eastAsia="Arial Unicode MS" w:hAnsi="Arial" w:cs="David" w:hint="eastAsia"/>
                <w:snapToGrid w:val="0"/>
                <w:spacing w:val="0"/>
                <w:sz w:val="20"/>
                <w:szCs w:val="26"/>
                <w:rtl/>
              </w:rPr>
              <w:t>–</w:t>
            </w:r>
          </w:p>
        </w:tc>
      </w:tr>
      <w:tr w:rsidR="006A30A6" w:rsidRPr="006A30A6" w14:paraId="44BD7F72" w14:textId="77777777" w:rsidTr="003563EF">
        <w:trPr>
          <w:cantSplit/>
          <w:trHeight w:val="60"/>
        </w:trPr>
        <w:tc>
          <w:tcPr>
            <w:tcW w:w="1869" w:type="dxa"/>
          </w:tcPr>
          <w:p w14:paraId="32CFBE54"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66C57228"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3FB959F9"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(1)</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בסעיף קטן (ב), אחרי פסקה (3) יבוא:</w:t>
            </w:r>
          </w:p>
        </w:tc>
      </w:tr>
      <w:tr w:rsidR="006A30A6" w:rsidRPr="006A30A6" w14:paraId="0CBB242E" w14:textId="77777777" w:rsidTr="003563EF">
        <w:trPr>
          <w:cantSplit/>
          <w:trHeight w:val="60"/>
        </w:trPr>
        <w:tc>
          <w:tcPr>
            <w:tcW w:w="1869" w:type="dxa"/>
          </w:tcPr>
          <w:p w14:paraId="34CF1806"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7D96F55"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B90B87E"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521" w:type="dxa"/>
            <w:gridSpan w:val="4"/>
          </w:tcPr>
          <w:p w14:paraId="3A027E7C" w14:textId="4C79AB39"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"(4)</w:t>
            </w:r>
            <w:r w:rsidRPr="006A30A6">
              <w:rPr>
                <w:rFonts w:ascii="Arial" w:eastAsia="Arial Unicode MS" w:hAnsi="Arial" w:cs="David"/>
                <w:snapToGrid w:val="0"/>
                <w:spacing w:val="0"/>
                <w:sz w:val="20"/>
                <w:szCs w:val="26"/>
                <w:rtl/>
              </w:rPr>
              <w:tab/>
              <w:t>לא יתקשר גוף ציבורי עם ספק בעסקה לקבלת שירות לגוף הציבורי, אלא אם כן נוכח מי שמייצג את הגוף הציבורי באותה עסקה, על פי תצהיר</w:t>
            </w:r>
            <w:r w:rsidRPr="006A30A6">
              <w:rPr>
                <w:rFonts w:ascii="Arial" w:eastAsia="Arial Unicode MS" w:hAnsi="Arial" w:cs="David" w:hint="cs"/>
                <w:snapToGrid w:val="0"/>
                <w:spacing w:val="0"/>
                <w:sz w:val="20"/>
                <w:szCs w:val="26"/>
                <w:rtl/>
              </w:rPr>
              <w:t xml:space="preserve"> בכתב מאת אותו ספק שהוא קובע בהסכם תנאי פרישה מועדפים לעובדים במקצוע שוחק לעומת עובדים אחרים באותו מקום עבודה, אף אם עובדים אלה אינם צד לאותו הסכם; לעניין פסקה זו, "מקצוע שוחק"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כהגדרתו בסעיף 12א לחוק גיל פרישה, התשס"ד</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2004</w:t>
            </w:r>
            <w:r w:rsidR="001C350F">
              <w:rPr>
                <w:rStyle w:val="a5"/>
                <w:rFonts w:ascii="Arial" w:eastAsia="Arial Unicode MS" w:hAnsi="Arial" w:cs="David"/>
                <w:snapToGrid w:val="0"/>
                <w:spacing w:val="0"/>
                <w:sz w:val="20"/>
                <w:szCs w:val="26"/>
                <w:rtl/>
              </w:rPr>
              <w:footnoteReference w:id="4"/>
            </w:r>
            <w:r w:rsidRPr="006A30A6">
              <w:rPr>
                <w:rFonts w:ascii="Arial" w:eastAsia="Arial Unicode MS" w:hAnsi="Arial" w:cs="David" w:hint="cs"/>
                <w:snapToGrid w:val="0"/>
                <w:spacing w:val="0"/>
                <w:sz w:val="20"/>
                <w:szCs w:val="26"/>
                <w:rtl/>
              </w:rPr>
              <w:t>.";</w:t>
            </w:r>
          </w:p>
        </w:tc>
      </w:tr>
      <w:tr w:rsidR="006A30A6" w:rsidRPr="006A30A6" w14:paraId="67364CBD" w14:textId="77777777" w:rsidTr="003563EF">
        <w:trPr>
          <w:cantSplit/>
          <w:trHeight w:val="60"/>
        </w:trPr>
        <w:tc>
          <w:tcPr>
            <w:tcW w:w="1869" w:type="dxa"/>
          </w:tcPr>
          <w:p w14:paraId="0267B6FB"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FE36C7C"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32C5BED2" w14:textId="7F6F40A9" w:rsidR="006A30A6" w:rsidRPr="006A30A6" w:rsidRDefault="006A30A6"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(2)</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בסעיף קטן (ב1)(1), במקום "סעיף קטן (ב)" יבוא "סעיף קטן (ב)(1)</w:t>
            </w:r>
            <w:r w:rsidR="00906E97">
              <w:rPr>
                <w:rFonts w:ascii="Arial" w:eastAsia="Arial Unicode MS" w:hAnsi="Arial" w:cs="David" w:hint="cs"/>
                <w:snapToGrid w:val="0"/>
                <w:spacing w:val="0"/>
                <w:sz w:val="20"/>
                <w:szCs w:val="26"/>
                <w:rtl/>
              </w:rPr>
              <w:t xml:space="preserve"> עד </w:t>
            </w:r>
            <w:r w:rsidRPr="006A30A6">
              <w:rPr>
                <w:rFonts w:ascii="Arial" w:eastAsia="Arial Unicode MS" w:hAnsi="Arial" w:cs="David" w:hint="cs"/>
                <w:snapToGrid w:val="0"/>
                <w:spacing w:val="0"/>
                <w:sz w:val="20"/>
                <w:szCs w:val="26"/>
                <w:rtl/>
              </w:rPr>
              <w:t xml:space="preserve">(3)". </w:t>
            </w:r>
          </w:p>
        </w:tc>
      </w:tr>
      <w:tr w:rsidR="006A30A6" w:rsidRPr="006A30A6" w14:paraId="7E47A88C" w14:textId="77777777" w:rsidTr="003563EF">
        <w:trPr>
          <w:cantSplit/>
        </w:trPr>
        <w:tc>
          <w:tcPr>
            <w:tcW w:w="1869" w:type="dxa"/>
          </w:tcPr>
          <w:p w14:paraId="292ACF52"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תיקון חוק הבטחת הכנסה</w:t>
            </w:r>
          </w:p>
        </w:tc>
        <w:tc>
          <w:tcPr>
            <w:tcW w:w="624" w:type="dxa"/>
          </w:tcPr>
          <w:p w14:paraId="6A603C67"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6.</w:t>
            </w:r>
          </w:p>
        </w:tc>
        <w:tc>
          <w:tcPr>
            <w:tcW w:w="7145" w:type="dxa"/>
            <w:gridSpan w:val="5"/>
          </w:tcPr>
          <w:p w14:paraId="08FA1D6E" w14:textId="686C0C3C"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בחוק הבטחת הכנסה, התשמ"א</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1980</w:t>
            </w:r>
            <w:r w:rsidRPr="006A30A6">
              <w:rPr>
                <w:rFonts w:ascii="Arial" w:eastAsia="Arial Unicode MS" w:hAnsi="Arial" w:cs="David"/>
                <w:snapToGrid w:val="0"/>
                <w:spacing w:val="0"/>
                <w:sz w:val="20"/>
                <w:szCs w:val="26"/>
                <w:vertAlign w:val="superscript"/>
                <w:rtl/>
              </w:rPr>
              <w:footnoteReference w:id="5"/>
            </w:r>
            <w:r w:rsidR="00906E97">
              <w:rPr>
                <w:rFonts w:ascii="Arial" w:eastAsia="Arial Unicode MS" w:hAnsi="Arial" w:cs="David" w:hint="cs"/>
                <w:snapToGrid w:val="0"/>
                <w:spacing w:val="0"/>
                <w:sz w:val="20"/>
                <w:szCs w:val="26"/>
                <w:rtl/>
              </w:rPr>
              <w:t xml:space="preserve">, </w:t>
            </w:r>
            <w:r w:rsidRPr="006A30A6">
              <w:rPr>
                <w:rFonts w:ascii="Arial" w:eastAsia="Arial Unicode MS" w:hAnsi="Arial" w:cs="David" w:hint="cs"/>
                <w:snapToGrid w:val="0"/>
                <w:spacing w:val="0"/>
                <w:sz w:val="20"/>
                <w:szCs w:val="26"/>
                <w:rtl/>
              </w:rPr>
              <w:t>בסעיף 5, אחרי סעיף קטן (ב) יבוא:</w:t>
            </w:r>
          </w:p>
        </w:tc>
      </w:tr>
      <w:tr w:rsidR="006A30A6" w:rsidRPr="006A30A6" w14:paraId="39716BB1" w14:textId="77777777" w:rsidTr="003563EF">
        <w:trPr>
          <w:cantSplit/>
        </w:trPr>
        <w:tc>
          <w:tcPr>
            <w:tcW w:w="1869" w:type="dxa"/>
          </w:tcPr>
          <w:p w14:paraId="1E1A0DC7"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688F5C23"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5ECEAA8A" w14:textId="3B72FFCE"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"(ב1)</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הגמלה לזכאית שהגיעה לגיל 60 וטרם הגיעה לגיל הפרישה תהיה בהתאם להוראות סעיף קטן (א) או (ב), לפי העניין, ובתוספת 300 שקלים חדשים; התוספת לגמלה תעודכן בהתאם להוראות</w:t>
            </w:r>
            <w:r w:rsidR="00906E97">
              <w:rPr>
                <w:rFonts w:ascii="Arial" w:eastAsia="Arial Unicode MS" w:hAnsi="Arial" w:cs="David" w:hint="cs"/>
                <w:snapToGrid w:val="0"/>
                <w:spacing w:val="0"/>
                <w:sz w:val="20"/>
                <w:szCs w:val="26"/>
                <w:rtl/>
              </w:rPr>
              <w:t xml:space="preserve"> פסקה (2) להגדרה "הסכום הבסיסי."</w:t>
            </w:r>
          </w:p>
        </w:tc>
      </w:tr>
      <w:tr w:rsidR="006A30A6" w:rsidRPr="006A30A6" w14:paraId="54EF762E" w14:textId="77777777" w:rsidTr="003563EF">
        <w:trPr>
          <w:cantSplit/>
        </w:trPr>
        <w:tc>
          <w:tcPr>
            <w:tcW w:w="1869" w:type="dxa"/>
          </w:tcPr>
          <w:p w14:paraId="4F3D2CEE"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תיקון חוק הביטוח הלאומי</w:t>
            </w:r>
          </w:p>
        </w:tc>
        <w:tc>
          <w:tcPr>
            <w:tcW w:w="624" w:type="dxa"/>
          </w:tcPr>
          <w:p w14:paraId="78F1992C"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7.</w:t>
            </w:r>
          </w:p>
        </w:tc>
        <w:tc>
          <w:tcPr>
            <w:tcW w:w="7145" w:type="dxa"/>
            <w:gridSpan w:val="5"/>
          </w:tcPr>
          <w:p w14:paraId="678E30B5" w14:textId="0D064C19" w:rsidR="006A30A6" w:rsidRPr="006A30A6" w:rsidRDefault="006A30A6" w:rsidP="00D62A99">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בחוק הביטוח הלאומי [נוסח משולב], התשנ"ה–1995</w:t>
            </w:r>
            <w:r w:rsidRPr="006A30A6">
              <w:rPr>
                <w:rFonts w:ascii="Arial" w:eastAsia="Arial Unicode MS" w:hAnsi="Arial" w:cs="David"/>
                <w:snapToGrid w:val="0"/>
                <w:spacing w:val="0"/>
                <w:sz w:val="20"/>
                <w:szCs w:val="26"/>
                <w:vertAlign w:val="superscript"/>
                <w:rtl/>
              </w:rPr>
              <w:footnoteReference w:id="6"/>
            </w:r>
            <w:r w:rsidR="00D62A99">
              <w:rPr>
                <w:rFonts w:ascii="Arial" w:eastAsia="Arial Unicode MS" w:hAnsi="Arial" w:cs="David" w:hint="cs"/>
                <w:snapToGrid w:val="0"/>
                <w:spacing w:val="0"/>
                <w:sz w:val="20"/>
                <w:szCs w:val="26"/>
                <w:rtl/>
              </w:rPr>
              <w:t xml:space="preserve"> </w:t>
            </w:r>
            <w:r w:rsidR="00D62A99">
              <w:rPr>
                <w:rFonts w:ascii="Arial" w:eastAsia="Arial Unicode MS" w:hAnsi="Arial" w:cs="David" w:hint="eastAsia"/>
                <w:snapToGrid w:val="0"/>
                <w:spacing w:val="0"/>
                <w:sz w:val="20"/>
                <w:szCs w:val="26"/>
                <w:rtl/>
              </w:rPr>
              <w:t>–</w:t>
            </w:r>
          </w:p>
        </w:tc>
      </w:tr>
      <w:tr w:rsidR="006A30A6" w:rsidRPr="006A30A6" w14:paraId="63D30D3F" w14:textId="77777777" w:rsidTr="003563EF">
        <w:trPr>
          <w:cantSplit/>
        </w:trPr>
        <w:tc>
          <w:tcPr>
            <w:tcW w:w="1869" w:type="dxa"/>
          </w:tcPr>
          <w:p w14:paraId="0195A82B" w14:textId="77777777" w:rsidR="006A30A6" w:rsidRPr="006A30A6" w:rsidRDefault="006A30A6" w:rsidP="006A30A6">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65612AD9" w14:textId="77777777" w:rsidR="006A30A6" w:rsidRPr="006A30A6" w:rsidRDefault="006A30A6" w:rsidP="006A30A6">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5BB5ADA2" w14:textId="77777777" w:rsidR="006A30A6" w:rsidRPr="006A30A6" w:rsidRDefault="006A30A6" w:rsidP="006A30A6">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(1)</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בסעיף 161, אחרי סעיף קטן (א) יבוא:</w:t>
            </w:r>
          </w:p>
        </w:tc>
      </w:tr>
      <w:tr w:rsidR="00906E97" w14:paraId="28B7DA5E" w14:textId="77777777" w:rsidTr="00906E97">
        <w:trPr>
          <w:cantSplit/>
          <w:trHeight w:val="60"/>
        </w:trPr>
        <w:tc>
          <w:tcPr>
            <w:tcW w:w="1869" w:type="dxa"/>
          </w:tcPr>
          <w:p w14:paraId="45CC5C93" w14:textId="08FE9BEF" w:rsidR="00906E97" w:rsidRDefault="00906E97" w:rsidP="00906E97">
            <w:pPr>
              <w:pStyle w:val="TableSideHeading"/>
            </w:pPr>
          </w:p>
        </w:tc>
        <w:tc>
          <w:tcPr>
            <w:tcW w:w="624" w:type="dxa"/>
          </w:tcPr>
          <w:p w14:paraId="4C084BF8" w14:textId="77777777" w:rsidR="00906E97" w:rsidRDefault="00906E97" w:rsidP="00906E97">
            <w:pPr>
              <w:pStyle w:val="TableText"/>
            </w:pPr>
          </w:p>
        </w:tc>
        <w:tc>
          <w:tcPr>
            <w:tcW w:w="624" w:type="dxa"/>
          </w:tcPr>
          <w:p w14:paraId="75573764" w14:textId="77777777" w:rsidR="00906E97" w:rsidRDefault="00906E97" w:rsidP="00906E97">
            <w:pPr>
              <w:pStyle w:val="TableText"/>
            </w:pPr>
          </w:p>
        </w:tc>
        <w:tc>
          <w:tcPr>
            <w:tcW w:w="6521" w:type="dxa"/>
            <w:gridSpan w:val="4"/>
          </w:tcPr>
          <w:p w14:paraId="2DF4F06A" w14:textId="712DE6DD" w:rsidR="00906E97" w:rsidRDefault="00906E97" w:rsidP="00906E97">
            <w:pPr>
              <w:pStyle w:val="TableBlock"/>
            </w:pPr>
            <w:r w:rsidRPr="006A30A6">
              <w:rPr>
                <w:rFonts w:hint="cs"/>
                <w:rtl/>
              </w:rPr>
              <w:t>"(א1)</w:t>
            </w:r>
            <w:r w:rsidRPr="006A30A6">
              <w:rPr>
                <w:rtl/>
              </w:rPr>
              <w:tab/>
            </w:r>
            <w:r w:rsidRPr="006A30A6">
              <w:rPr>
                <w:rFonts w:hint="cs"/>
                <w:rtl/>
              </w:rPr>
              <w:t>על אף האמור בסעיף קטן (א), בתקופה שמיום י"ד בטבת התשע"ח (1 בינואר 2018) ועד יום ג' בטבת התש"פ (31 בדצמבר 2019) תקופת האכשרה שבסעיף הקטן האמור לא תחול על אישה שמלאו לה 59 שנים וטרם מלאו לה 61 שנים.";</w:t>
            </w:r>
          </w:p>
        </w:tc>
      </w:tr>
      <w:tr w:rsidR="00906E97" w:rsidRPr="006A30A6" w14:paraId="6AA3F282" w14:textId="77777777" w:rsidTr="003563EF">
        <w:trPr>
          <w:cantSplit/>
        </w:trPr>
        <w:tc>
          <w:tcPr>
            <w:tcW w:w="1869" w:type="dxa"/>
          </w:tcPr>
          <w:p w14:paraId="32B00B38" w14:textId="77777777" w:rsidR="00906E97" w:rsidRPr="006A30A6" w:rsidRDefault="00906E97" w:rsidP="00906E97">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26AB3B50"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120F28FB" w14:textId="15A58FA3"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p>
        </w:tc>
      </w:tr>
      <w:tr w:rsidR="00906E97" w:rsidRPr="006A30A6" w14:paraId="4CA66DF9" w14:textId="77777777" w:rsidTr="003563EF">
        <w:trPr>
          <w:cantSplit/>
        </w:trPr>
        <w:tc>
          <w:tcPr>
            <w:tcW w:w="1869" w:type="dxa"/>
          </w:tcPr>
          <w:p w14:paraId="2E9B5073" w14:textId="77777777" w:rsidR="00906E97" w:rsidRPr="006A30A6" w:rsidRDefault="00906E97" w:rsidP="00906E97">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176A22D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5DC794DB" w14:textId="77777777"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(2)</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בסעיף 171(א), אחרי פסקה (1א) יבוא:</w:t>
            </w:r>
          </w:p>
        </w:tc>
      </w:tr>
      <w:tr w:rsidR="00906E97" w14:paraId="333932E0" w14:textId="77777777" w:rsidTr="007E1D4F">
        <w:trPr>
          <w:cantSplit/>
          <w:trHeight w:val="60"/>
        </w:trPr>
        <w:tc>
          <w:tcPr>
            <w:tcW w:w="1869" w:type="dxa"/>
          </w:tcPr>
          <w:p w14:paraId="276C8CBC" w14:textId="0A92464A" w:rsidR="00906E97" w:rsidRDefault="00906E97" w:rsidP="00906E97">
            <w:pPr>
              <w:pStyle w:val="TableSideHeading"/>
            </w:pPr>
          </w:p>
        </w:tc>
        <w:tc>
          <w:tcPr>
            <w:tcW w:w="624" w:type="dxa"/>
          </w:tcPr>
          <w:p w14:paraId="0A5FCC2F" w14:textId="77777777" w:rsidR="00906E97" w:rsidRDefault="00906E97" w:rsidP="00906E97">
            <w:pPr>
              <w:pStyle w:val="TableText"/>
            </w:pPr>
          </w:p>
        </w:tc>
        <w:tc>
          <w:tcPr>
            <w:tcW w:w="624" w:type="dxa"/>
          </w:tcPr>
          <w:p w14:paraId="1828F048" w14:textId="77777777" w:rsidR="00906E97" w:rsidRDefault="00906E97" w:rsidP="00906E97">
            <w:pPr>
              <w:pStyle w:val="TableText"/>
            </w:pPr>
          </w:p>
        </w:tc>
        <w:tc>
          <w:tcPr>
            <w:tcW w:w="6521" w:type="dxa"/>
            <w:gridSpan w:val="4"/>
          </w:tcPr>
          <w:p w14:paraId="7596BF63" w14:textId="58172278" w:rsidR="00906E97" w:rsidRDefault="00906E97" w:rsidP="00906E97">
            <w:pPr>
              <w:pStyle w:val="TableBlock"/>
            </w:pPr>
            <w:r w:rsidRPr="006A30A6">
              <w:rPr>
                <w:rFonts w:hint="cs"/>
                <w:rtl/>
              </w:rPr>
              <w:t>"(1ב)</w:t>
            </w:r>
            <w:r w:rsidRPr="006A30A6">
              <w:rPr>
                <w:rtl/>
              </w:rPr>
              <w:tab/>
            </w:r>
            <w:r w:rsidRPr="006A30A6">
              <w:rPr>
                <w:rFonts w:hint="cs"/>
                <w:rtl/>
              </w:rPr>
              <w:t xml:space="preserve">600 </w:t>
            </w:r>
            <w:r w:rsidRPr="006A30A6">
              <w:rPr>
                <w:rFonts w:hint="eastAsia"/>
                <w:rtl/>
              </w:rPr>
              <w:t>–</w:t>
            </w:r>
            <w:r w:rsidRPr="006A30A6">
              <w:rPr>
                <w:rFonts w:hint="cs"/>
                <w:rtl/>
              </w:rPr>
              <w:t xml:space="preserve"> אם היא אישה ומלאו לה 55 שנים; ורשאית האישה לחלק את הימים עד לשתי תקופות, ולא יותר מהן; חילקה האישה את התקופה האמורה </w:t>
            </w:r>
            <w:r w:rsidRPr="006A30A6">
              <w:rPr>
                <w:rtl/>
              </w:rPr>
              <w:t>–</w:t>
            </w:r>
            <w:r w:rsidRPr="006A30A6">
              <w:rPr>
                <w:rFonts w:hint="cs"/>
                <w:rtl/>
              </w:rPr>
              <w:t xml:space="preserve"> לא יחול לגביה האמור בסעיף 161(א) לעניין התקופה השניה;</w:t>
            </w:r>
          </w:p>
        </w:tc>
      </w:tr>
      <w:tr w:rsidR="00906E97" w14:paraId="76569393" w14:textId="77777777" w:rsidTr="007E1D4F">
        <w:trPr>
          <w:cantSplit/>
          <w:trHeight w:val="60"/>
        </w:trPr>
        <w:tc>
          <w:tcPr>
            <w:tcW w:w="1869" w:type="dxa"/>
          </w:tcPr>
          <w:p w14:paraId="78D74193" w14:textId="619CD5F8" w:rsidR="00906E97" w:rsidRDefault="00906E97" w:rsidP="00906E97">
            <w:pPr>
              <w:pStyle w:val="TableSideHeading"/>
              <w:rPr>
                <w:rtl/>
              </w:rPr>
            </w:pPr>
          </w:p>
        </w:tc>
        <w:tc>
          <w:tcPr>
            <w:tcW w:w="624" w:type="dxa"/>
          </w:tcPr>
          <w:p w14:paraId="74FB8CA0" w14:textId="77777777" w:rsidR="00906E97" w:rsidRDefault="00906E97" w:rsidP="00906E97">
            <w:pPr>
              <w:pStyle w:val="TableText"/>
            </w:pPr>
          </w:p>
        </w:tc>
        <w:tc>
          <w:tcPr>
            <w:tcW w:w="624" w:type="dxa"/>
          </w:tcPr>
          <w:p w14:paraId="714EC970" w14:textId="77777777" w:rsidR="00906E97" w:rsidRDefault="00906E97" w:rsidP="00906E97">
            <w:pPr>
              <w:pStyle w:val="TableText"/>
            </w:pPr>
          </w:p>
        </w:tc>
        <w:tc>
          <w:tcPr>
            <w:tcW w:w="6521" w:type="dxa"/>
            <w:gridSpan w:val="4"/>
          </w:tcPr>
          <w:p w14:paraId="7692BC81" w14:textId="0C923F8E" w:rsidR="00906E97" w:rsidRPr="006A30A6" w:rsidRDefault="00906E97" w:rsidP="00906E97">
            <w:pPr>
              <w:pStyle w:val="TableBlock"/>
              <w:rPr>
                <w:rFonts w:hint="cs"/>
                <w:rtl/>
              </w:rPr>
            </w:pPr>
            <w:r w:rsidRPr="006A30A6">
              <w:rPr>
                <w:rFonts w:hint="cs"/>
                <w:rtl/>
              </w:rPr>
              <w:t>(1ג)</w:t>
            </w:r>
            <w:r w:rsidRPr="006A30A6">
              <w:rPr>
                <w:rtl/>
              </w:rPr>
              <w:tab/>
            </w:r>
            <w:r w:rsidRPr="006A30A6">
              <w:rPr>
                <w:rFonts w:hint="cs"/>
                <w:rtl/>
              </w:rPr>
              <w:t xml:space="preserve">175 </w:t>
            </w:r>
            <w:r w:rsidRPr="006A30A6">
              <w:rPr>
                <w:rtl/>
              </w:rPr>
              <w:t>–</w:t>
            </w:r>
            <w:r w:rsidRPr="006A30A6">
              <w:rPr>
                <w:rFonts w:hint="cs"/>
                <w:rtl/>
              </w:rPr>
              <w:t xml:space="preserve"> אם היא אישה ומתקיים בה האמור בסעיף 161(א1);"; </w:t>
            </w:r>
          </w:p>
        </w:tc>
      </w:tr>
      <w:tr w:rsidR="00906E97" w14:paraId="6F838C28" w14:textId="77777777" w:rsidTr="007E1D4F">
        <w:trPr>
          <w:cantSplit/>
          <w:trHeight w:val="60"/>
        </w:trPr>
        <w:tc>
          <w:tcPr>
            <w:tcW w:w="1869" w:type="dxa"/>
          </w:tcPr>
          <w:p w14:paraId="6BE2BADA" w14:textId="5798661D" w:rsidR="00906E97" w:rsidRDefault="00906E97" w:rsidP="00906E97">
            <w:pPr>
              <w:pStyle w:val="TableSideHeading"/>
              <w:rPr>
                <w:rtl/>
              </w:rPr>
            </w:pPr>
          </w:p>
        </w:tc>
        <w:tc>
          <w:tcPr>
            <w:tcW w:w="624" w:type="dxa"/>
          </w:tcPr>
          <w:p w14:paraId="742724E5" w14:textId="77777777" w:rsidR="00906E97" w:rsidRDefault="00906E97" w:rsidP="00906E97">
            <w:pPr>
              <w:pStyle w:val="TableText"/>
            </w:pPr>
          </w:p>
        </w:tc>
        <w:tc>
          <w:tcPr>
            <w:tcW w:w="624" w:type="dxa"/>
          </w:tcPr>
          <w:p w14:paraId="1CBF4E05" w14:textId="77777777" w:rsidR="00906E97" w:rsidRDefault="00906E97" w:rsidP="00906E97">
            <w:pPr>
              <w:pStyle w:val="TableText"/>
            </w:pPr>
          </w:p>
        </w:tc>
        <w:tc>
          <w:tcPr>
            <w:tcW w:w="6521" w:type="dxa"/>
            <w:gridSpan w:val="4"/>
          </w:tcPr>
          <w:p w14:paraId="7220CDC9" w14:textId="5B39E87A" w:rsidR="00906E97" w:rsidRDefault="00906E97" w:rsidP="00906E97">
            <w:pPr>
              <w:pStyle w:val="TableBlock"/>
              <w:rPr>
                <w:rFonts w:hint="cs"/>
                <w:rtl/>
              </w:rPr>
            </w:pPr>
            <w:r w:rsidRPr="006A30A6">
              <w:rPr>
                <w:rFonts w:hint="cs"/>
                <w:rtl/>
              </w:rPr>
              <w:t>(2)</w:t>
            </w:r>
            <w:r w:rsidRPr="006A30A6">
              <w:rPr>
                <w:rtl/>
              </w:rPr>
              <w:tab/>
            </w:r>
            <w:r w:rsidRPr="006A30A6">
              <w:rPr>
                <w:rFonts w:hint="cs"/>
                <w:rtl/>
              </w:rPr>
              <w:t>בסעיף 173(א)(1) במקום "זכאי שנשלח" יבוא "זכאי, שאינו אישה שמלאו לה 55, שנשלח".</w:t>
            </w:r>
          </w:p>
        </w:tc>
      </w:tr>
      <w:tr w:rsidR="00906E97" w:rsidRPr="006A30A6" w14:paraId="1B75A8DF" w14:textId="77777777" w:rsidTr="003563EF">
        <w:trPr>
          <w:cantSplit/>
        </w:trPr>
        <w:tc>
          <w:tcPr>
            <w:tcW w:w="1869" w:type="dxa"/>
          </w:tcPr>
          <w:p w14:paraId="7FBCDACC" w14:textId="561F3634"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 xml:space="preserve">תיקון חוק להגדלת שיעור ההשתתפות בכוח העבודה ולצמצום פערים חברתיים </w:t>
            </w:r>
          </w:p>
        </w:tc>
        <w:tc>
          <w:tcPr>
            <w:tcW w:w="624" w:type="dxa"/>
          </w:tcPr>
          <w:p w14:paraId="0B22C36B"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8.</w:t>
            </w:r>
          </w:p>
        </w:tc>
        <w:tc>
          <w:tcPr>
            <w:tcW w:w="7145" w:type="dxa"/>
            <w:gridSpan w:val="5"/>
          </w:tcPr>
          <w:p w14:paraId="4FAF845C" w14:textId="2CBC7D49"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בחוק להגדלת שיעור ההשתתפות בכוח העבודה ולצמצום פערים חברתיים (מענק עבודה), התשס"ח</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2007</w:t>
            </w:r>
            <w:r w:rsidRPr="006A30A6">
              <w:rPr>
                <w:rFonts w:ascii="Arial" w:eastAsia="Arial Unicode MS" w:hAnsi="Arial" w:cs="David"/>
                <w:snapToGrid w:val="0"/>
                <w:spacing w:val="0"/>
                <w:sz w:val="20"/>
                <w:szCs w:val="26"/>
                <w:vertAlign w:val="superscript"/>
                <w:rtl/>
              </w:rPr>
              <w:footnoteReference w:id="7"/>
            </w:r>
            <w:r w:rsidRPr="006A30A6">
              <w:rPr>
                <w:rFonts w:ascii="Arial" w:eastAsia="Arial Unicode MS" w:hAnsi="Arial" w:cs="David"/>
                <w:snapToGrid w:val="0"/>
                <w:spacing w:val="0"/>
                <w:sz w:val="20"/>
                <w:szCs w:val="26"/>
                <w:rtl/>
              </w:rPr>
              <w:t xml:space="preserve"> </w:t>
            </w:r>
            <w:r w:rsidRPr="006A30A6">
              <w:rPr>
                <w:rFonts w:ascii="Arial" w:eastAsia="Arial Unicode MS" w:hAnsi="Arial" w:cs="David" w:hint="cs"/>
                <w:snapToGrid w:val="0"/>
                <w:spacing w:val="0"/>
                <w:sz w:val="20"/>
                <w:szCs w:val="26"/>
                <w:rtl/>
              </w:rPr>
              <w:t xml:space="preserve"> </w:t>
            </w:r>
            <w:r w:rsidRPr="006A30A6">
              <w:rPr>
                <w:rFonts w:ascii="Arial" w:eastAsia="Arial Unicode MS" w:hAnsi="Arial" w:cs="David" w:hint="eastAsia"/>
                <w:snapToGrid w:val="0"/>
                <w:spacing w:val="0"/>
                <w:sz w:val="20"/>
                <w:szCs w:val="26"/>
                <w:rtl/>
              </w:rPr>
              <w:t>–</w:t>
            </w:r>
            <w:r w:rsidRPr="006A30A6">
              <w:rPr>
                <w:rFonts w:ascii="Arial" w:eastAsia="Arial Unicode MS" w:hAnsi="Arial" w:cs="David" w:hint="cs"/>
                <w:snapToGrid w:val="0"/>
                <w:spacing w:val="0"/>
                <w:sz w:val="20"/>
                <w:szCs w:val="26"/>
                <w:rtl/>
              </w:rPr>
              <w:t xml:space="preserve"> </w:t>
            </w:r>
          </w:p>
        </w:tc>
      </w:tr>
      <w:tr w:rsidR="00906E97" w:rsidRPr="006A30A6" w14:paraId="42B6751C" w14:textId="77777777" w:rsidTr="003563EF">
        <w:trPr>
          <w:cantSplit/>
        </w:trPr>
        <w:tc>
          <w:tcPr>
            <w:tcW w:w="1869" w:type="dxa"/>
          </w:tcPr>
          <w:p w14:paraId="0BDC38A0" w14:textId="5B782F53"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tcPr>
          <w:p w14:paraId="1A74FBCA"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45" w:type="dxa"/>
            <w:gridSpan w:val="5"/>
          </w:tcPr>
          <w:p w14:paraId="14EC2790" w14:textId="51F913C4"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(1)</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אחרי סעיף 2 יבוא:</w:t>
            </w:r>
          </w:p>
        </w:tc>
      </w:tr>
      <w:tr w:rsidR="00906E97" w:rsidRPr="006A30A6" w14:paraId="6F5DA2D5" w14:textId="77777777" w:rsidTr="003563EF">
        <w:trPr>
          <w:cantSplit/>
        </w:trPr>
        <w:tc>
          <w:tcPr>
            <w:tcW w:w="1869" w:type="dxa"/>
          </w:tcPr>
          <w:p w14:paraId="6CB79D0B" w14:textId="7655BB23" w:rsidR="00906E97" w:rsidRPr="006A30A6" w:rsidRDefault="00906E97" w:rsidP="00906E97">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10A216" w14:textId="77777777" w:rsidR="00906E97" w:rsidRPr="006A30A6" w:rsidRDefault="00906E97" w:rsidP="00906E97">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2826FFD5"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 xml:space="preserve">"זכאות למענק לעובדת שמלאו לה 57 שנים וטרם מלאו לה 64 שנים </w:t>
            </w:r>
          </w:p>
        </w:tc>
        <w:tc>
          <w:tcPr>
            <w:tcW w:w="624" w:type="dxa"/>
          </w:tcPr>
          <w:p w14:paraId="7B31600C"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2א.</w:t>
            </w:r>
          </w:p>
        </w:tc>
        <w:tc>
          <w:tcPr>
            <w:tcW w:w="4649" w:type="dxa"/>
          </w:tcPr>
          <w:p w14:paraId="303EAC1D" w14:textId="4B9A37A6"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6A30A6">
              <w:rPr>
                <w:rFonts w:ascii="Arial" w:eastAsia="Arial Unicode MS" w:hAnsi="Arial" w:cs="David" w:hint="cs"/>
                <w:snapToGrid w:val="0"/>
                <w:spacing w:val="0"/>
                <w:sz w:val="20"/>
                <w:szCs w:val="26"/>
                <w:rtl/>
              </w:rPr>
              <w:t>על האמור בסעיף 2, עובדת שמלאו לה 57 שנים וטרם מלאו לה 64 שנים בשנת המס, שהכנסתה החודשית הממוצעת, באותה שנת מס, היא כמפורט בפסקאות שלהלן, לפי העניין, תהיה זכאית, בכפוף להוראות סעיפים 3 עד 7, למענק בעד כל חודש עבודה בפועל בשנת המס שלא קיבלה בה הכנסת עבודה מאת קרובה, בסכומים המפורטים באותן פסקאות:</w:t>
            </w:r>
          </w:p>
        </w:tc>
      </w:tr>
      <w:tr w:rsidR="00906E97" w:rsidRPr="006A30A6" w14:paraId="6993153E" w14:textId="77777777" w:rsidTr="003563EF">
        <w:trPr>
          <w:cantSplit/>
        </w:trPr>
        <w:tc>
          <w:tcPr>
            <w:tcW w:w="1869" w:type="dxa"/>
          </w:tcPr>
          <w:p w14:paraId="763CBE76" w14:textId="072C5A8B"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363A317"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0746452"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C399C1E"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270E55"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A5D87C7"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9" w:type="dxa"/>
          </w:tcPr>
          <w:p w14:paraId="312EC046" w14:textId="095B1B20"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(1)</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 xml:space="preserve">אם הכנסתה החודשית הממוצעת עולה על 1,250 שקלים חדשים ואינה עולה על 2,500 שקלים חדשים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סכום של 240 שקלים חדשים בתוספת 30.8% מחלק הכנסתה החודשית הממוצעת העולה על 1,250 שקלים חדשים;</w:t>
            </w:r>
          </w:p>
        </w:tc>
      </w:tr>
      <w:tr w:rsidR="00906E97" w:rsidRPr="006A30A6" w14:paraId="4F5F6247" w14:textId="77777777" w:rsidTr="003563EF">
        <w:trPr>
          <w:cantSplit/>
        </w:trPr>
        <w:tc>
          <w:tcPr>
            <w:tcW w:w="1869" w:type="dxa"/>
          </w:tcPr>
          <w:p w14:paraId="4AA2E73B" w14:textId="1D9572A0"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68D9800"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10D227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FF05A11"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2BC1D6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15C119D1"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9" w:type="dxa"/>
          </w:tcPr>
          <w:p w14:paraId="2C082425" w14:textId="65F5B108"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(2)</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 xml:space="preserve">אם הכנסתה החודשית הממוצעת עולה על 2,500 שקלים חדשים ואינה עולה על 3,500 שקלים חדשים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סכום של 830 שקלים חדשים;</w:t>
            </w:r>
          </w:p>
        </w:tc>
      </w:tr>
      <w:tr w:rsidR="00906E97" w:rsidRPr="006A30A6" w14:paraId="0051A0AB" w14:textId="77777777" w:rsidTr="003563EF">
        <w:trPr>
          <w:cantSplit/>
        </w:trPr>
        <w:tc>
          <w:tcPr>
            <w:tcW w:w="1869" w:type="dxa"/>
          </w:tcPr>
          <w:p w14:paraId="194A1889" w14:textId="4AEC4A92"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A9BF1F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9EABC1"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1300432"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A1DE062"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735F0EF"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9" w:type="dxa"/>
          </w:tcPr>
          <w:p w14:paraId="7B68D8C9" w14:textId="2B25243F"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(3)</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 xml:space="preserve">אם הכנסתה החודשית הממוצעת עולה על 3,500 שקלים חדשים ואינה עולה על 5,000 שקלים חדשים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סכום של 700 שקלים חדשים, בניכוי 37% מחלק הכנסתה החודשית הממוצעת העולה על 4,000 שקלים חדשים;</w:t>
            </w:r>
          </w:p>
        </w:tc>
      </w:tr>
      <w:tr w:rsidR="00906E97" w:rsidRPr="006A30A6" w14:paraId="0ED78D2B" w14:textId="77777777" w:rsidTr="003563EF">
        <w:trPr>
          <w:cantSplit/>
        </w:trPr>
        <w:tc>
          <w:tcPr>
            <w:tcW w:w="1869" w:type="dxa"/>
          </w:tcPr>
          <w:p w14:paraId="568D6728" w14:textId="02AC682C"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9BB5BBA"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73BAA98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B06EB19"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3760183"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124D9DA"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9" w:type="dxa"/>
          </w:tcPr>
          <w:p w14:paraId="0DC6632E" w14:textId="7AF4213F"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(4)</w:t>
            </w:r>
            <w:r w:rsidRPr="006A30A6">
              <w:rPr>
                <w:rFonts w:ascii="Arial" w:eastAsia="Arial Unicode MS" w:hAnsi="Arial" w:cs="David"/>
                <w:snapToGrid w:val="0"/>
                <w:spacing w:val="0"/>
                <w:sz w:val="20"/>
                <w:szCs w:val="26"/>
                <w:rtl/>
              </w:rPr>
              <w:tab/>
            </w:r>
            <w:r w:rsidRPr="006A30A6">
              <w:rPr>
                <w:rFonts w:ascii="Arial" w:eastAsia="Arial Unicode MS" w:hAnsi="Arial" w:cs="David" w:hint="cs"/>
                <w:snapToGrid w:val="0"/>
                <w:spacing w:val="0"/>
                <w:sz w:val="20"/>
                <w:szCs w:val="26"/>
                <w:rtl/>
              </w:rPr>
              <w:t xml:space="preserve">אם הכנסתה החודשית הממוצעת עולה על 5,000 שקלים חדשים ואינה עולה על 6,170 שקלים חדשים </w:t>
            </w:r>
            <w:r w:rsidRPr="006A30A6">
              <w:rPr>
                <w:rFonts w:ascii="Arial" w:eastAsia="Arial Unicode MS" w:hAnsi="Arial" w:cs="David"/>
                <w:snapToGrid w:val="0"/>
                <w:spacing w:val="0"/>
                <w:sz w:val="20"/>
                <w:szCs w:val="26"/>
                <w:rtl/>
              </w:rPr>
              <w:t>–</w:t>
            </w:r>
            <w:r w:rsidRPr="006A30A6">
              <w:rPr>
                <w:rFonts w:ascii="Arial" w:eastAsia="Arial Unicode MS" w:hAnsi="Arial" w:cs="David" w:hint="cs"/>
                <w:snapToGrid w:val="0"/>
                <w:spacing w:val="0"/>
                <w:sz w:val="20"/>
                <w:szCs w:val="26"/>
                <w:rtl/>
              </w:rPr>
              <w:t xml:space="preserve"> סכום של 500 שקלים חדשים, בניכוי 23.5% מחלק הכנסתה החודשית הממוצעת העולה על 5,000 שקלים חדשים.";</w:t>
            </w:r>
          </w:p>
        </w:tc>
      </w:tr>
      <w:tr w:rsidR="00906E97" w:rsidRPr="006A30A6" w14:paraId="43FB8DAA" w14:textId="77777777" w:rsidTr="003563EF">
        <w:trPr>
          <w:cantSplit/>
        </w:trPr>
        <w:tc>
          <w:tcPr>
            <w:tcW w:w="1869" w:type="dxa"/>
          </w:tcPr>
          <w:p w14:paraId="7E4F5999" w14:textId="5E30387E"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52D3E83" w14:textId="77777777" w:rsidR="00906E97" w:rsidRPr="006A30A6" w:rsidRDefault="00906E97" w:rsidP="00906E97">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7145" w:type="dxa"/>
            <w:gridSpan w:val="5"/>
          </w:tcPr>
          <w:p w14:paraId="73C41236" w14:textId="74D9AF8A" w:rsidR="00906E97" w:rsidRPr="006A30A6" w:rsidRDefault="00906E97" w:rsidP="00906E97">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6A30A6">
              <w:rPr>
                <w:rFonts w:ascii="Arial" w:eastAsia="Arial Unicode MS" w:hAnsi="Arial" w:cs="David" w:hint="cs"/>
                <w:snapToGrid w:val="0"/>
                <w:spacing w:val="0"/>
                <w:sz w:val="20"/>
                <w:szCs w:val="26"/>
                <w:rtl/>
              </w:rPr>
              <w:t>(2)</w:t>
            </w:r>
            <w:r w:rsidRPr="006A30A6">
              <w:rPr>
                <w:rFonts w:ascii="Arial" w:eastAsia="Arial Unicode MS" w:hAnsi="Arial" w:cs="David"/>
                <w:snapToGrid w:val="0"/>
                <w:spacing w:val="0"/>
                <w:sz w:val="20"/>
                <w:szCs w:val="26"/>
                <w:rtl/>
              </w:rPr>
              <w:tab/>
              <w:t>בסעיף 17(ב), במקום "ולגבי עצמאי ללא ילדים שמלאו לו 55 שנים," יבוא</w:t>
            </w:r>
            <w:r w:rsidRPr="006A30A6">
              <w:rPr>
                <w:rFonts w:ascii="Arial" w:eastAsia="Arial Unicode MS" w:hAnsi="Arial" w:cs="David" w:hint="cs"/>
                <w:snapToGrid w:val="0"/>
                <w:spacing w:val="0"/>
                <w:sz w:val="20"/>
                <w:szCs w:val="26"/>
                <w:rtl/>
              </w:rPr>
              <w:t xml:space="preserve"> </w:t>
            </w:r>
            <w:r w:rsidRPr="006A30A6">
              <w:rPr>
                <w:rFonts w:ascii="Arial" w:eastAsia="Arial Unicode MS" w:hAnsi="Arial" w:cs="David"/>
                <w:snapToGrid w:val="0"/>
                <w:spacing w:val="0"/>
                <w:sz w:val="20"/>
                <w:szCs w:val="26"/>
                <w:rtl/>
              </w:rPr>
              <w:t>"ולגבי עצמאי ללא ילדים שמלאו לו 55 שנים, או ע</w:t>
            </w:r>
            <w:r w:rsidRPr="006A30A6">
              <w:rPr>
                <w:rFonts w:ascii="Arial" w:eastAsia="Arial Unicode MS" w:hAnsi="Arial" w:cs="David" w:hint="cs"/>
                <w:snapToGrid w:val="0"/>
                <w:spacing w:val="0"/>
                <w:sz w:val="20"/>
                <w:szCs w:val="26"/>
                <w:rtl/>
              </w:rPr>
              <w:t>צמאית</w:t>
            </w:r>
            <w:r w:rsidRPr="006A30A6">
              <w:rPr>
                <w:rFonts w:ascii="Arial" w:eastAsia="Arial Unicode MS" w:hAnsi="Arial" w:cs="David"/>
                <w:snapToGrid w:val="0"/>
                <w:spacing w:val="0"/>
                <w:sz w:val="20"/>
                <w:szCs w:val="26"/>
                <w:rtl/>
              </w:rPr>
              <w:t xml:space="preserve"> שמלאו לה 5</w:t>
            </w:r>
            <w:r w:rsidRPr="006A30A6">
              <w:rPr>
                <w:rFonts w:ascii="Arial" w:eastAsia="Arial Unicode MS" w:hAnsi="Arial" w:cs="David" w:hint="cs"/>
                <w:snapToGrid w:val="0"/>
                <w:spacing w:val="0"/>
                <w:sz w:val="20"/>
                <w:szCs w:val="26"/>
                <w:rtl/>
              </w:rPr>
              <w:t>7</w:t>
            </w:r>
            <w:r w:rsidRPr="006A30A6">
              <w:rPr>
                <w:rFonts w:ascii="Arial" w:eastAsia="Arial Unicode MS" w:hAnsi="Arial" w:cs="David"/>
                <w:snapToGrid w:val="0"/>
                <w:spacing w:val="0"/>
                <w:sz w:val="20"/>
                <w:szCs w:val="26"/>
                <w:rtl/>
              </w:rPr>
              <w:t xml:space="preserve"> </w:t>
            </w:r>
            <w:r w:rsidRPr="006A30A6">
              <w:rPr>
                <w:rFonts w:ascii="Arial" w:eastAsia="Arial Unicode MS" w:hAnsi="Arial" w:cs="David" w:hint="cs"/>
                <w:snapToGrid w:val="0"/>
                <w:spacing w:val="0"/>
                <w:sz w:val="20"/>
                <w:szCs w:val="26"/>
                <w:rtl/>
              </w:rPr>
              <w:t xml:space="preserve">שנים </w:t>
            </w:r>
            <w:r w:rsidRPr="006A30A6">
              <w:rPr>
                <w:rFonts w:ascii="Arial" w:eastAsia="Arial Unicode MS" w:hAnsi="Arial" w:cs="David"/>
                <w:snapToGrid w:val="0"/>
                <w:spacing w:val="0"/>
                <w:sz w:val="20"/>
                <w:szCs w:val="26"/>
                <w:rtl/>
              </w:rPr>
              <w:t xml:space="preserve">וטרם מלאו לה 64 </w:t>
            </w:r>
            <w:r w:rsidRPr="006A30A6">
              <w:rPr>
                <w:rFonts w:ascii="Arial" w:eastAsia="Arial Unicode MS" w:hAnsi="Arial" w:cs="David" w:hint="cs"/>
                <w:snapToGrid w:val="0"/>
                <w:spacing w:val="0"/>
                <w:sz w:val="20"/>
                <w:szCs w:val="26"/>
                <w:rtl/>
              </w:rPr>
              <w:t xml:space="preserve">שנים </w:t>
            </w:r>
            <w:r w:rsidRPr="006A30A6">
              <w:rPr>
                <w:rFonts w:ascii="Arial" w:eastAsia="Arial Unicode MS" w:hAnsi="Arial" w:cs="David"/>
                <w:snapToGrid w:val="0"/>
                <w:spacing w:val="0"/>
                <w:sz w:val="20"/>
                <w:szCs w:val="26"/>
                <w:rtl/>
              </w:rPr>
              <w:t>בשנת המס,"</w:t>
            </w:r>
            <w:r>
              <w:rPr>
                <w:rFonts w:ascii="Arial" w:eastAsia="Arial Unicode MS" w:hAnsi="Arial" w:cs="David" w:hint="cs"/>
                <w:snapToGrid w:val="0"/>
                <w:spacing w:val="0"/>
                <w:sz w:val="20"/>
                <w:szCs w:val="26"/>
                <w:rtl/>
              </w:rPr>
              <w:t>.</w:t>
            </w:r>
          </w:p>
        </w:tc>
      </w:tr>
    </w:tbl>
    <w:p w14:paraId="7F6961CA" w14:textId="77777777" w:rsidR="002D1EE3" w:rsidRDefault="002D1EE3" w:rsidP="002D1EE3">
      <w:pPr>
        <w:pStyle w:val="HeadDivreiHesber"/>
        <w:rPr>
          <w:rtl/>
        </w:rPr>
      </w:pPr>
      <w:r w:rsidRPr="0027450A">
        <w:rPr>
          <w:rFonts w:hint="cs"/>
          <w:rtl/>
        </w:rPr>
        <w:t>דברי הסבר</w:t>
      </w:r>
    </w:p>
    <w:p w14:paraId="0E554791" w14:textId="504444BA" w:rsidR="001B6229" w:rsidRDefault="00C10803" w:rsidP="00347395">
      <w:pPr>
        <w:pStyle w:val="Hesber"/>
        <w:rPr>
          <w:rtl/>
        </w:rPr>
      </w:pPr>
      <w:r>
        <w:rPr>
          <w:rFonts w:hint="cs"/>
          <w:rtl/>
        </w:rPr>
        <w:t>חוק גיל פרישה, התשס"ד</w:t>
      </w:r>
      <w:r>
        <w:rPr>
          <w:rFonts w:hint="eastAsia"/>
          <w:rtl/>
        </w:rPr>
        <w:t>–</w:t>
      </w:r>
      <w:r>
        <w:rPr>
          <w:rFonts w:hint="cs"/>
          <w:rtl/>
        </w:rPr>
        <w:t xml:space="preserve">2004 (להלן </w:t>
      </w:r>
      <w:r>
        <w:rPr>
          <w:rtl/>
        </w:rPr>
        <w:t>–</w:t>
      </w:r>
      <w:r>
        <w:rPr>
          <w:rFonts w:hint="cs"/>
          <w:rtl/>
        </w:rPr>
        <w:t xml:space="preserve"> חוק גיל פרישה)</w:t>
      </w:r>
      <w:r w:rsidR="00906E97">
        <w:rPr>
          <w:rFonts w:hint="cs"/>
          <w:rtl/>
        </w:rPr>
        <w:t>,</w:t>
      </w:r>
      <w:r>
        <w:rPr>
          <w:rFonts w:hint="cs"/>
          <w:rtl/>
        </w:rPr>
        <w:t xml:space="preserve"> שנדון בוועדת הכספים, קובע בסעיף 9 מנגנון לבחינת השאלה בדבר העלאת גיל הפרישה שבו אישה רשאית לפרוש מעבודתה (כיום, גיל 62). לפי סעיף 9 לחוק האמור, נדרש שר האוצר להקים ועדה ציבורית לבחינת העלאת גיל הפרישה לנשים, על הוועדה הציבורית להגיש את המלצותיה לשר האוצר שיניח את המלצות הוועדה הציבורית על שולחן הכנסת, ועל </w:t>
      </w:r>
      <w:r>
        <w:rPr>
          <w:rFonts w:hint="cs"/>
          <w:rtl/>
        </w:rPr>
        <w:lastRenderedPageBreak/>
        <w:t xml:space="preserve">שר האוצר להביא לאישור ועדת הכספים את המלצותיו לעניין גיל הפרישה לנשים, בהתחשב בהמלצות הוועדה הציבורית, והן יכולות לכלול שינוי בגיל הפרישה לנשים בתנאים שייקבעו. ערב תיקון מס' 6 לחוק גיל פרישה, היה על ועדת הכספים ליתן החלטה בהמלצות שר האוצר עד לתאריך שהיה קבוע בחוק, ואם לא החליטה הוועדה בהמלצות השר עד </w:t>
      </w:r>
      <w:r w:rsidR="001B6229">
        <w:rPr>
          <w:rFonts w:hint="cs"/>
          <w:rtl/>
        </w:rPr>
        <w:t xml:space="preserve">אותו תאריך, קבע חוק גיל פרישה העלאה אוטומטית של גיל הפרישה לנשים </w:t>
      </w:r>
      <w:r w:rsidR="00906E97">
        <w:rPr>
          <w:rFonts w:hint="cs"/>
          <w:rtl/>
        </w:rPr>
        <w:t>לפי התוספת לחוק גיל פרישה. יצוי</w:t>
      </w:r>
      <w:r w:rsidR="001B6229">
        <w:rPr>
          <w:rFonts w:hint="cs"/>
          <w:rtl/>
        </w:rPr>
        <w:t>ן, כי עד לתיקון מס' 6 האמור, גיל הפרישה לנשים שזיכה אותן בקצבת אזרח ותיק לפי חוק הביטוח הלאומי [נוסח משולב], התשנ"ה</w:t>
      </w:r>
      <w:r w:rsidR="00347395">
        <w:rPr>
          <w:rFonts w:hint="eastAsia"/>
          <w:rtl/>
        </w:rPr>
        <w:t>–</w:t>
      </w:r>
      <w:r w:rsidR="001B6229">
        <w:rPr>
          <w:rFonts w:hint="cs"/>
          <w:rtl/>
        </w:rPr>
        <w:t xml:space="preserve">1995 </w:t>
      </w:r>
      <w:r w:rsidR="00347395">
        <w:rPr>
          <w:rFonts w:hint="cs"/>
          <w:rtl/>
        </w:rPr>
        <w:t xml:space="preserve">(להלן </w:t>
      </w:r>
      <w:r w:rsidR="00347395">
        <w:rPr>
          <w:rtl/>
        </w:rPr>
        <w:t>–</w:t>
      </w:r>
      <w:r w:rsidR="00347395">
        <w:rPr>
          <w:rFonts w:hint="cs"/>
          <w:rtl/>
        </w:rPr>
        <w:t xml:space="preserve"> חוק הביטוח הלאומי) </w:t>
      </w:r>
      <w:r w:rsidR="001B6229">
        <w:rPr>
          <w:rFonts w:hint="cs"/>
          <w:rtl/>
        </w:rPr>
        <w:t>היה עצמאי ומנותק מגיל הפרישה לנשים לפי חוק גיל פרישה.</w:t>
      </w:r>
    </w:p>
    <w:p w14:paraId="305737E9" w14:textId="15238605" w:rsidR="001B6229" w:rsidRDefault="001B6229" w:rsidP="001B6229">
      <w:pPr>
        <w:pStyle w:val="Hesber"/>
        <w:rPr>
          <w:rtl/>
        </w:rPr>
      </w:pPr>
      <w:r>
        <w:rPr>
          <w:rFonts w:hint="cs"/>
          <w:rtl/>
        </w:rPr>
        <w:t xml:space="preserve">מאז שנת 2011 דחתה הכנסת את העלאת גיל הפרישה לנשים שלוש פעמים, פעמיים מתוכן בכנסת הזו, בין היתר כיוון ששר האוצר לא הביא לוועדת הכספים את המלצותיו כמתחייב בחוק גיל פרישה; בפעם הראשונה ניתנה לשר אורכה, אך בפעם השנייה, בתיקון מס' 6 לחוק גיל פרישה, החליטה ועדת הכספים לשנות את מנגנון העלאת גיל הפרישה, כך שאם השר הביא את המלצותיו לוועדת הכספים וועדת הכספים לא החליטה </w:t>
      </w:r>
      <w:r>
        <w:rPr>
          <w:rtl/>
        </w:rPr>
        <w:t>–</w:t>
      </w:r>
      <w:r>
        <w:rPr>
          <w:rFonts w:hint="cs"/>
          <w:rtl/>
        </w:rPr>
        <w:t xml:space="preserve"> גיל הפרישה יעלה אוטומטית, כאמור; </w:t>
      </w:r>
      <w:r w:rsidR="00906E97">
        <w:rPr>
          <w:rFonts w:hint="cs"/>
          <w:rtl/>
        </w:rPr>
        <w:t>ו</w:t>
      </w:r>
      <w:r>
        <w:rPr>
          <w:rFonts w:hint="cs"/>
          <w:rtl/>
        </w:rPr>
        <w:t>אולם</w:t>
      </w:r>
      <w:r w:rsidR="00906E97">
        <w:rPr>
          <w:rFonts w:hint="cs"/>
          <w:rtl/>
        </w:rPr>
        <w:t>,</w:t>
      </w:r>
      <w:r>
        <w:rPr>
          <w:rFonts w:hint="cs"/>
          <w:rtl/>
        </w:rPr>
        <w:t xml:space="preserve"> אם שר האוצר לא הביא לוועדת הכספים את המלצותיו וועדת הכספים של הכנסת לא החליטה אחרת </w:t>
      </w:r>
      <w:r>
        <w:rPr>
          <w:rtl/>
        </w:rPr>
        <w:t>–</w:t>
      </w:r>
      <w:r>
        <w:rPr>
          <w:rFonts w:hint="cs"/>
          <w:rtl/>
        </w:rPr>
        <w:t xml:space="preserve"> ימשיך</w:t>
      </w:r>
      <w:r w:rsidR="00906E97">
        <w:rPr>
          <w:rFonts w:hint="cs"/>
          <w:rtl/>
        </w:rPr>
        <w:t xml:space="preserve"> גיל הפרישה של הנשים להיות 62. </w:t>
      </w:r>
      <w:r>
        <w:rPr>
          <w:rFonts w:hint="cs"/>
          <w:rtl/>
        </w:rPr>
        <w:t>נוסף</w:t>
      </w:r>
      <w:r w:rsidR="00906E97">
        <w:rPr>
          <w:rFonts w:hint="cs"/>
          <w:rtl/>
        </w:rPr>
        <w:t xml:space="preserve"> על כך</w:t>
      </w:r>
      <w:r>
        <w:rPr>
          <w:rFonts w:hint="cs"/>
          <w:rtl/>
        </w:rPr>
        <w:t xml:space="preserve">, </w:t>
      </w:r>
      <w:r w:rsidR="00347395">
        <w:rPr>
          <w:rFonts w:hint="cs"/>
          <w:rtl/>
        </w:rPr>
        <w:t>וכדי שתהיה אחידות בין גיל הפרישה לפי חוק גיל פרישה לבין גיל הזכאות של אישה לקצבת אזרח ותיק לפי חוק הביטוח הלאומי</w:t>
      </w:r>
      <w:r w:rsidR="004879F1">
        <w:rPr>
          <w:rFonts w:hint="cs"/>
          <w:rtl/>
        </w:rPr>
        <w:t xml:space="preserve">, החליטה ועדת הכספים שגיל הזכאות של אישה לקצבת אזרח ותיק תהיה כגיל פרישתה לפי חוק גיל פרישה. </w:t>
      </w:r>
    </w:p>
    <w:p w14:paraId="779825C8" w14:textId="649E5038" w:rsidR="004879F1" w:rsidRDefault="004879F1" w:rsidP="00290ABA">
      <w:pPr>
        <w:pStyle w:val="Hesber"/>
        <w:rPr>
          <w:rtl/>
        </w:rPr>
      </w:pPr>
      <w:r>
        <w:rPr>
          <w:rFonts w:hint="cs"/>
          <w:rtl/>
        </w:rPr>
        <w:t xml:space="preserve">מתוך הבנה שגיל הפרישה לנשים צריך לעלות, ושהעלאתו היא לטובת הנשים בטווח הארוך, </w:t>
      </w:r>
      <w:r w:rsidR="00223292">
        <w:rPr>
          <w:rFonts w:hint="cs"/>
          <w:rtl/>
        </w:rPr>
        <w:t xml:space="preserve">אבל שלא די בכך אלא גם נדרשים צעדים משלימים ותומכים לנשים, </w:t>
      </w:r>
      <w:r>
        <w:rPr>
          <w:rFonts w:hint="cs"/>
          <w:rtl/>
        </w:rPr>
        <w:t>יזם יושב ראש ועדת הכס</w:t>
      </w:r>
      <w:r w:rsidR="00223292">
        <w:rPr>
          <w:rFonts w:hint="cs"/>
          <w:rtl/>
        </w:rPr>
        <w:t>פים של הכנסת מתווה חקיקתי שהוצג בפני חברי הכנסת בדיונים שקיימה ועדת הכספים</w:t>
      </w:r>
      <w:r w:rsidR="00290ABA">
        <w:rPr>
          <w:rFonts w:hint="cs"/>
          <w:rtl/>
        </w:rPr>
        <w:t xml:space="preserve"> (להלן </w:t>
      </w:r>
      <w:r w:rsidR="00290ABA">
        <w:rPr>
          <w:rFonts w:hint="eastAsia"/>
          <w:rtl/>
        </w:rPr>
        <w:t>–</w:t>
      </w:r>
      <w:r w:rsidR="00290ABA">
        <w:rPr>
          <w:rFonts w:hint="cs"/>
          <w:rtl/>
        </w:rPr>
        <w:t xml:space="preserve"> המתווה)</w:t>
      </w:r>
      <w:r w:rsidR="00223292">
        <w:rPr>
          <w:rFonts w:hint="cs"/>
          <w:rtl/>
        </w:rPr>
        <w:t>. מתווה זה זכה לתמיכת כל חברי הכנסת בוועדה, ובראשם חברות הכנסת שפעלו עוד קודם לכן בעניין הצעדים המשלימים והתומכים לנשים.</w:t>
      </w:r>
    </w:p>
    <w:p w14:paraId="6090B904" w14:textId="1FFAFCDF" w:rsidR="00223292" w:rsidRDefault="00223292" w:rsidP="00223292">
      <w:pPr>
        <w:pStyle w:val="HesberHeading"/>
        <w:rPr>
          <w:rtl/>
        </w:rPr>
      </w:pPr>
      <w:r>
        <w:rPr>
          <w:rFonts w:hint="cs"/>
          <w:rtl/>
        </w:rPr>
        <w:t>לסעיף 1</w:t>
      </w:r>
    </w:p>
    <w:p w14:paraId="5CA423B7" w14:textId="0D1C0191" w:rsidR="00223292" w:rsidRDefault="00223292" w:rsidP="00223292">
      <w:pPr>
        <w:pStyle w:val="Hesber"/>
        <w:rPr>
          <w:rtl/>
        </w:rPr>
      </w:pPr>
      <w:r>
        <w:rPr>
          <w:rFonts w:hint="cs"/>
          <w:rtl/>
        </w:rPr>
        <w:t>מוצע לבטל את פרק ד' לחוק גיל פרישה שלפיו נקבע אופן העלאת גיל הפרישה לנשים, כפי שתואר בתחילתם של דברי הסבר.</w:t>
      </w:r>
    </w:p>
    <w:p w14:paraId="2675B7E1" w14:textId="32A129C7" w:rsidR="00223292" w:rsidRDefault="00223292" w:rsidP="00223292">
      <w:pPr>
        <w:pStyle w:val="HesberHeading"/>
        <w:rPr>
          <w:rtl/>
        </w:rPr>
      </w:pPr>
      <w:r>
        <w:rPr>
          <w:rFonts w:hint="cs"/>
          <w:rtl/>
        </w:rPr>
        <w:t>לסעיף 2</w:t>
      </w:r>
    </w:p>
    <w:p w14:paraId="726548A7" w14:textId="4E01EA1B" w:rsidR="00223292" w:rsidRDefault="00223292" w:rsidP="00223292">
      <w:pPr>
        <w:pStyle w:val="Hesber"/>
        <w:rPr>
          <w:rtl/>
        </w:rPr>
      </w:pPr>
      <w:r>
        <w:rPr>
          <w:rFonts w:hint="cs"/>
          <w:rtl/>
        </w:rPr>
        <w:t xml:space="preserve">מוצע לקבוע שהחל משנת 2020 ובכל שנה לאחר מכן יבחן המוסד לביטוח לאומי, במחקר, את השפעת גיל הפרישה על נשים שגיל הפרישה שלהן עלה החל משנת 2018. המחקר יבחן, בין היתר, את מספר הנשים שעבדו עד גיל הפרישה, שהפסיקו לעבוד לפני הגיען לגיל הפרישה, או שהמשיכו לעבוד לאחר גיל הפרישה וכן את רמת הכנסתן לאחר פרישתן מהעבודה, ובכלל זה מקורות הכנסתן, וכן רמת הכנסתן אם הן ממשיכות לעבוד לאחר גיל הפרישה. עוד מוצע שהמחקר האמור יכלול </w:t>
      </w:r>
      <w:r w:rsidR="00AA00FD">
        <w:rPr>
          <w:rFonts w:hint="cs"/>
          <w:rtl/>
        </w:rPr>
        <w:t>צעדים משלימים לעידוד העסקתן של נשים שטרם הגיעו לגיל פרישה ומעוניינות לעבוד גם לאחר הגיען לגיל הפרישה.</w:t>
      </w:r>
    </w:p>
    <w:p w14:paraId="233668D8" w14:textId="425AEE98" w:rsidR="00AA00FD" w:rsidRDefault="00AA00FD" w:rsidP="00E80A8C">
      <w:pPr>
        <w:pStyle w:val="Hesber"/>
        <w:rPr>
          <w:rtl/>
        </w:rPr>
      </w:pPr>
      <w:r>
        <w:rPr>
          <w:rFonts w:hint="cs"/>
          <w:rtl/>
        </w:rPr>
        <w:t xml:space="preserve">כמו כן, מוצע </w:t>
      </w:r>
      <w:r w:rsidR="00E80A8C">
        <w:rPr>
          <w:rFonts w:hint="cs"/>
          <w:rtl/>
        </w:rPr>
        <w:t xml:space="preserve">לאפשר לנשים בגיל 55 ומעלה שטרם הגיעו לגיל פרישה להיות זכאיות להכשרה מקצועית מהמדינה אף אם הן עובדות, לפי בחירת האישה ובהשתתפות המדינה בסכום של לפחות  75% מעלות ההכשרה או 9,000 שקלים חדשים </w:t>
      </w:r>
      <w:r w:rsidR="00E80A8C">
        <w:rPr>
          <w:rtl/>
        </w:rPr>
        <w:t>–</w:t>
      </w:r>
      <w:r w:rsidR="00E80A8C">
        <w:rPr>
          <w:rFonts w:hint="cs"/>
          <w:rtl/>
        </w:rPr>
        <w:t xml:space="preserve"> לפי הגבוה. נשים שגילן 45 וטרם הגיעו לגיל 55 יהיו זכאיות להכשרות המקצועיות אם </w:t>
      </w:r>
      <w:r w:rsidR="00290ABA">
        <w:rPr>
          <w:rFonts w:hint="cs"/>
          <w:rtl/>
        </w:rPr>
        <w:t xml:space="preserve">הן </w:t>
      </w:r>
      <w:r w:rsidR="00E80A8C">
        <w:rPr>
          <w:rFonts w:hint="cs"/>
          <w:rtl/>
        </w:rPr>
        <w:t>לא עבדו 18 חודשים לפחות</w:t>
      </w:r>
      <w:r w:rsidR="00290ABA">
        <w:rPr>
          <w:rFonts w:hint="cs"/>
          <w:rtl/>
        </w:rPr>
        <w:t>. כן מוצע שמשרד הכלכלה והתעשייה יבחן במחקר את מידת השתתפותן של נשים בהכשרות מקצועיות ואת מידת השתתפותן של אותן נשים בשוק העבודה לאחר ההכשרה המקצועית, כמו גם רמת הכנסתן בהשוואה, בין היתר, לרמת הכנסתן לפני כן.</w:t>
      </w:r>
    </w:p>
    <w:p w14:paraId="217CDB9D" w14:textId="4837EA89" w:rsidR="00AA00FD" w:rsidRDefault="008A27B8" w:rsidP="00AA00FD">
      <w:pPr>
        <w:pStyle w:val="HesberHeading"/>
        <w:rPr>
          <w:rtl/>
        </w:rPr>
      </w:pPr>
      <w:r>
        <w:rPr>
          <w:rFonts w:hint="cs"/>
          <w:rtl/>
        </w:rPr>
        <w:lastRenderedPageBreak/>
        <w:t>לסעיפים</w:t>
      </w:r>
      <w:r w:rsidR="00AA00FD">
        <w:rPr>
          <w:rFonts w:hint="cs"/>
          <w:rtl/>
        </w:rPr>
        <w:t xml:space="preserve"> 3</w:t>
      </w:r>
      <w:r>
        <w:rPr>
          <w:rFonts w:hint="cs"/>
          <w:rtl/>
        </w:rPr>
        <w:t xml:space="preserve"> ו-5</w:t>
      </w:r>
    </w:p>
    <w:p w14:paraId="35801230" w14:textId="5A58A53E" w:rsidR="00290ABA" w:rsidRDefault="00290ABA" w:rsidP="008A27B8">
      <w:pPr>
        <w:pStyle w:val="Hesber"/>
        <w:rPr>
          <w:rtl/>
        </w:rPr>
      </w:pPr>
      <w:r>
        <w:rPr>
          <w:rFonts w:hint="cs"/>
          <w:rtl/>
        </w:rPr>
        <w:t xml:space="preserve">נושא פרישתן של נשים שעובדות במקצועות שוחקים, כגון ניקיון, שמירה, </w:t>
      </w:r>
      <w:r w:rsidR="00AA7169">
        <w:rPr>
          <w:rFonts w:hint="cs"/>
          <w:rtl/>
        </w:rPr>
        <w:t xml:space="preserve">או </w:t>
      </w:r>
      <w:r>
        <w:rPr>
          <w:rFonts w:hint="cs"/>
          <w:rtl/>
        </w:rPr>
        <w:t xml:space="preserve">נהיגה על כלי רכב כבדים העסיק רבות את חברות הכנסת בעת הצגת </w:t>
      </w:r>
      <w:r w:rsidR="00AA7169">
        <w:rPr>
          <w:rFonts w:hint="cs"/>
          <w:rtl/>
        </w:rPr>
        <w:t>המתווה</w:t>
      </w:r>
      <w:r>
        <w:rPr>
          <w:rFonts w:hint="cs"/>
          <w:rtl/>
        </w:rPr>
        <w:t>. מוצע</w:t>
      </w:r>
      <w:r w:rsidR="00AA7169">
        <w:rPr>
          <w:rFonts w:hint="cs"/>
          <w:rtl/>
        </w:rPr>
        <w:t xml:space="preserve"> שבהסכם שהמדינה צד לו כמעביד ייקבעו תנאי </w:t>
      </w:r>
      <w:r w:rsidR="00A31032">
        <w:rPr>
          <w:rFonts w:hint="cs"/>
          <w:rtl/>
        </w:rPr>
        <w:t xml:space="preserve">פרישה מועדפים לעובד במקצוע שוחק, מקצוע שהעבודה בו מתאפיינת בשחיקה פיזית או מנטלית ניכרת, לעומת עובדים אחרים באותו מקום עבודה </w:t>
      </w:r>
      <w:r w:rsidR="00A31032">
        <w:rPr>
          <w:rtl/>
        </w:rPr>
        <w:t>–</w:t>
      </w:r>
      <w:r w:rsidR="00A31032">
        <w:rPr>
          <w:rFonts w:hint="cs"/>
          <w:rtl/>
        </w:rPr>
        <w:t xml:space="preserve"> גם אם עובדים אלה אינם צד לאותו הסכם; זאת, בין היתר לאור העסקת עובדי קבלן במסגרת שירותים הניתנים על ידי המדינה לאזרחיה.</w:t>
      </w:r>
      <w:r w:rsidR="008A27B8">
        <w:rPr>
          <w:rFonts w:hint="cs"/>
          <w:rtl/>
        </w:rPr>
        <w:t xml:space="preserve"> כן מוצע לתקן את חוק עסקאות גופים ציבוריים, התשל"ו</w:t>
      </w:r>
      <w:r w:rsidR="008A27B8">
        <w:rPr>
          <w:rFonts w:hint="eastAsia"/>
          <w:rtl/>
        </w:rPr>
        <w:t>–</w:t>
      </w:r>
      <w:r w:rsidR="008A27B8">
        <w:rPr>
          <w:rFonts w:hint="cs"/>
          <w:rtl/>
        </w:rPr>
        <w:t xml:space="preserve">1976 ולאסור על גוף ציבורי להתקשר עם ספק בעסקה לקבלת שירות לגוף הציבורי, </w:t>
      </w:r>
      <w:r w:rsidR="00A27BE4">
        <w:rPr>
          <w:rFonts w:hint="cs"/>
          <w:rtl/>
        </w:rPr>
        <w:t xml:space="preserve">אלא אם כן נוכח מי שמייצג את הגוף הציבורי שאותו ספק קובע בהסכם תנאי פרישה מועדפים לעובדים במקצוע שוחק, לעומת עובדים אחרים באותו מקום עבודה. </w:t>
      </w:r>
    </w:p>
    <w:p w14:paraId="7946FAF9" w14:textId="75247F01" w:rsidR="00A31032" w:rsidRDefault="008A27B8" w:rsidP="008A27B8">
      <w:pPr>
        <w:pStyle w:val="HesberHeading"/>
        <w:rPr>
          <w:rtl/>
        </w:rPr>
      </w:pPr>
      <w:r>
        <w:rPr>
          <w:rFonts w:hint="cs"/>
          <w:rtl/>
        </w:rPr>
        <w:t>לסעיף 4</w:t>
      </w:r>
    </w:p>
    <w:p w14:paraId="01715DB4" w14:textId="42E24B4A" w:rsidR="008A27B8" w:rsidRDefault="008A27B8" w:rsidP="008A27B8">
      <w:pPr>
        <w:pStyle w:val="Hesber"/>
        <w:rPr>
          <w:rtl/>
        </w:rPr>
      </w:pPr>
      <w:r>
        <w:rPr>
          <w:rFonts w:hint="cs"/>
          <w:rtl/>
        </w:rPr>
        <w:t>מוצע להעלות את גיל הפרישה שבו אישה זכאית לפרוש מעבודתה מגיל 62 לגיל 64. העלאת גיל הפרישה תתפרס על תקופה של 10 שנים.</w:t>
      </w:r>
    </w:p>
    <w:p w14:paraId="370DBCF2" w14:textId="6670984D" w:rsidR="008F291B" w:rsidRDefault="001C350F" w:rsidP="001C350F">
      <w:pPr>
        <w:pStyle w:val="HesberHeading"/>
        <w:rPr>
          <w:rtl/>
        </w:rPr>
      </w:pPr>
      <w:r>
        <w:rPr>
          <w:rFonts w:hint="cs"/>
          <w:rtl/>
        </w:rPr>
        <w:t>לסעיף 6</w:t>
      </w:r>
    </w:p>
    <w:p w14:paraId="582389F6" w14:textId="0ED9251E" w:rsidR="001C350F" w:rsidRDefault="001C350F" w:rsidP="00562739">
      <w:pPr>
        <w:pStyle w:val="Hesber"/>
        <w:rPr>
          <w:rtl/>
        </w:rPr>
      </w:pPr>
      <w:r>
        <w:rPr>
          <w:rFonts w:hint="cs"/>
          <w:rtl/>
        </w:rPr>
        <w:t xml:space="preserve">מוצע </w:t>
      </w:r>
      <w:r w:rsidR="00562739">
        <w:rPr>
          <w:rFonts w:hint="cs"/>
          <w:rtl/>
        </w:rPr>
        <w:t>לתקן את חוק הבטחת הכנסה, התשמ"א</w:t>
      </w:r>
      <w:r w:rsidR="00562739">
        <w:rPr>
          <w:rFonts w:hint="eastAsia"/>
          <w:rtl/>
        </w:rPr>
        <w:t>–</w:t>
      </w:r>
      <w:r w:rsidR="00562739">
        <w:rPr>
          <w:rFonts w:hint="cs"/>
          <w:rtl/>
        </w:rPr>
        <w:t>1980</w:t>
      </w:r>
      <w:r w:rsidR="00906E97">
        <w:rPr>
          <w:rFonts w:hint="cs"/>
          <w:rtl/>
        </w:rPr>
        <w:t>,</w:t>
      </w:r>
      <w:r w:rsidR="00562739">
        <w:rPr>
          <w:rFonts w:hint="cs"/>
          <w:rtl/>
        </w:rPr>
        <w:t xml:space="preserve"> ו</w:t>
      </w:r>
      <w:r>
        <w:rPr>
          <w:rFonts w:hint="cs"/>
          <w:rtl/>
        </w:rPr>
        <w:t xml:space="preserve">לקבוע תוספת של 300 שקלים חדשים לגמלת הבטחת הכנסה שמקבלת זכאית לגמלה שהגיעה לגיל 60 וטרם הגיעה לגיל הפרישה. </w:t>
      </w:r>
    </w:p>
    <w:p w14:paraId="3376D2D2" w14:textId="0D702774" w:rsidR="001C350F" w:rsidRDefault="001C350F" w:rsidP="001C350F">
      <w:pPr>
        <w:pStyle w:val="HesberHeading"/>
        <w:rPr>
          <w:rtl/>
        </w:rPr>
      </w:pPr>
      <w:r>
        <w:rPr>
          <w:rFonts w:hint="cs"/>
          <w:rtl/>
        </w:rPr>
        <w:t>לסעיף 7</w:t>
      </w:r>
    </w:p>
    <w:p w14:paraId="17D1B553" w14:textId="7C501BAA" w:rsidR="00562739" w:rsidRDefault="00562739" w:rsidP="00562739">
      <w:pPr>
        <w:pStyle w:val="Hesber"/>
        <w:rPr>
          <w:rtl/>
        </w:rPr>
      </w:pPr>
      <w:r>
        <w:rPr>
          <w:rFonts w:hint="cs"/>
          <w:rtl/>
        </w:rPr>
        <w:t xml:space="preserve">מוצע לתקן את חוק הביטוח הלאומי ולקבוע שבתקופה שמיום י"ד בטבת התשע"ח (1 בינואר 2018) ועד יום ג' הטבת התש"פ (31 בדצמבר 2019) לא תחול על נשים שמלאו להן 59 וטרם מלאו להן 61 שנים ההוראה לעניין תקופת האכשרה לדמי אבטלה והן יהיו זכאיות ל-175 ימי אבטלה. עוד מוצע לקבוע תקופת אבטלה של 600 ימים לאישה שמלאו לה 55 שנים לפחות; אישה כאמור תהיה רשאית לחלק את התקופה הזו עד לשתי תקופות, ואם היא החליטה לחלק את התקופה </w:t>
      </w:r>
      <w:r>
        <w:rPr>
          <w:rtl/>
        </w:rPr>
        <w:t>–</w:t>
      </w:r>
      <w:r>
        <w:rPr>
          <w:rFonts w:hint="cs"/>
          <w:rtl/>
        </w:rPr>
        <w:t xml:space="preserve"> ההוראה לעניין תקופת האכשרה לא תחול לעניין התקופה השנייה. </w:t>
      </w:r>
      <w:r w:rsidR="004C4444">
        <w:rPr>
          <w:rFonts w:hint="cs"/>
          <w:rtl/>
        </w:rPr>
        <w:t xml:space="preserve">בנוסף מוצע </w:t>
      </w:r>
      <w:r w:rsidR="00A04BB3">
        <w:rPr>
          <w:rFonts w:hint="cs"/>
          <w:rtl/>
        </w:rPr>
        <w:t xml:space="preserve">לקבוע שלא ינוכו סכומים מדמי האבטלה המשולמים לאישה שמלאו לה 55 שנים לפחות והיא נמצאת בהכשרה מקצועית. </w:t>
      </w:r>
    </w:p>
    <w:p w14:paraId="575F4111" w14:textId="05181BE0" w:rsidR="00A04BB3" w:rsidRDefault="00836EE8" w:rsidP="00836EE8">
      <w:pPr>
        <w:pStyle w:val="HesberHeading"/>
        <w:rPr>
          <w:rtl/>
        </w:rPr>
      </w:pPr>
      <w:r>
        <w:rPr>
          <w:rFonts w:hint="cs"/>
          <w:rtl/>
        </w:rPr>
        <w:t>לסעיף 8</w:t>
      </w:r>
    </w:p>
    <w:p w14:paraId="2F7A6241" w14:textId="4E471C50" w:rsidR="00836EE8" w:rsidRPr="00836EE8" w:rsidRDefault="009E5CEE" w:rsidP="009E5CEE">
      <w:pPr>
        <w:pStyle w:val="Hesber"/>
        <w:rPr>
          <w:rtl/>
        </w:rPr>
      </w:pPr>
      <w:r>
        <w:rPr>
          <w:rFonts w:hint="cs"/>
          <w:rtl/>
        </w:rPr>
        <w:t>מוצע להגדיל את מענק העבודה, לפי חוק להגדלת שיעור ההשתתפות בכוח העבודה ולצמצום פערים חברתיים (מענק עבודה), התשס"ח</w:t>
      </w:r>
      <w:r>
        <w:rPr>
          <w:rFonts w:hint="eastAsia"/>
          <w:rtl/>
        </w:rPr>
        <w:t>–</w:t>
      </w:r>
      <w:r>
        <w:rPr>
          <w:rFonts w:hint="cs"/>
          <w:rtl/>
        </w:rPr>
        <w:t>2007, לעובדת או לעצמאית שמלאו לה 57 שנים וטרם מלאו לה 64 שהכנסתה הממוצעת באותה שנת מס היא בין 1,251 שקלים חדשים ל-6,170 שקלים חדשים; סכומי המענק יהיו בין 240 שקלים חדשים ל-</w:t>
      </w:r>
      <w:r w:rsidR="00254D0F">
        <w:rPr>
          <w:rFonts w:hint="cs"/>
          <w:rtl/>
        </w:rPr>
        <w:t xml:space="preserve">830 שקלים חדשים בעד כל חודש עבודה באותה שנת מס. </w:t>
      </w:r>
    </w:p>
    <w:p w14:paraId="4E4E0EFB" w14:textId="77777777" w:rsidR="00906E97" w:rsidRDefault="00906E97" w:rsidP="00562739">
      <w:pPr>
        <w:pStyle w:val="Hesber"/>
        <w:rPr>
          <w:rtl/>
        </w:rPr>
      </w:pPr>
    </w:p>
    <w:p w14:paraId="0FFB1C31" w14:textId="77777777" w:rsidR="00906E97" w:rsidRDefault="00906E97" w:rsidP="00562739">
      <w:pPr>
        <w:pStyle w:val="Hesber"/>
        <w:rPr>
          <w:rtl/>
        </w:rPr>
      </w:pPr>
    </w:p>
    <w:p w14:paraId="553FD79F" w14:textId="77777777" w:rsidR="00906E97" w:rsidRPr="00D73212" w:rsidRDefault="00562739" w:rsidP="00906E97">
      <w:pPr>
        <w:pStyle w:val="Hesber"/>
        <w:rPr>
          <w:color w:val="auto"/>
          <w:rtl/>
          <w:lang w:eastAsia="en-US"/>
        </w:rPr>
      </w:pPr>
      <w:r>
        <w:rPr>
          <w:rFonts w:hint="cs"/>
          <w:rtl/>
        </w:rPr>
        <w:t xml:space="preserve"> </w:t>
      </w:r>
      <w:r w:rsidR="00906E97" w:rsidRPr="00D73212">
        <w:rPr>
          <w:color w:val="auto"/>
          <w:rtl/>
          <w:lang w:eastAsia="en-US"/>
        </w:rPr>
        <w:t>---------------------------------</w:t>
      </w:r>
    </w:p>
    <w:p w14:paraId="0D3FD4F8" w14:textId="77777777" w:rsidR="00906E97" w:rsidRPr="00D73212" w:rsidRDefault="00906E97" w:rsidP="00906E97">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4D9D847" w14:textId="77777777" w:rsidR="00906E97" w:rsidRPr="00D73212" w:rsidRDefault="00906E97" w:rsidP="00906E97">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144AFFC0" w14:textId="77777777" w:rsidR="00906E97" w:rsidRPr="00317312" w:rsidRDefault="00906E97" w:rsidP="00906E97">
      <w:pPr>
        <w:pStyle w:val="Hesber"/>
      </w:pPr>
      <w:r>
        <w:rPr>
          <w:rFonts w:hint="cs"/>
          <w:color w:val="auto"/>
          <w:rtl/>
          <w:lang w:eastAsia="en-US"/>
        </w:rPr>
        <w:t>י"ד בטבת</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ח</w:t>
      </w:r>
      <w:r w:rsidRPr="00D73212">
        <w:rPr>
          <w:color w:val="auto"/>
          <w:rtl/>
          <w:lang w:eastAsia="en-US"/>
        </w:rPr>
        <w:t xml:space="preserve"> – </w:t>
      </w:r>
      <w:r>
        <w:rPr>
          <w:rFonts w:hint="cs"/>
          <w:color w:val="auto"/>
          <w:rtl/>
          <w:lang w:eastAsia="en-US"/>
        </w:rPr>
        <w:t>1.1</w:t>
      </w:r>
      <w:r w:rsidRPr="00D73212">
        <w:rPr>
          <w:color w:val="auto"/>
          <w:rtl/>
          <w:lang w:eastAsia="en-US"/>
        </w:rPr>
        <w:t>.</w:t>
      </w:r>
      <w:r>
        <w:rPr>
          <w:rFonts w:hint="cs"/>
          <w:color w:val="auto"/>
          <w:rtl/>
          <w:lang w:eastAsia="en-US"/>
        </w:rPr>
        <w:t>18</w:t>
      </w:r>
    </w:p>
    <w:p w14:paraId="33D50010" w14:textId="6325F243" w:rsidR="001C350F" w:rsidRPr="00906E97" w:rsidRDefault="001C350F" w:rsidP="00562739">
      <w:pPr>
        <w:pStyle w:val="Hesber"/>
        <w:rPr>
          <w:rtl/>
        </w:rPr>
      </w:pPr>
    </w:p>
    <w:sectPr w:rsidR="001C350F" w:rsidRPr="00906E9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65E2F">
      <w:rPr>
        <w:rStyle w:val="aa"/>
        <w:noProof/>
        <w:rtl/>
      </w:rPr>
      <w:t>7</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DF601F0" w14:textId="77777777" w:rsidR="006A30A6" w:rsidRDefault="006A30A6" w:rsidP="006A30A6">
      <w:pPr>
        <w:pStyle w:val="a4"/>
      </w:pPr>
      <w:r>
        <w:rPr>
          <w:rStyle w:val="a5"/>
        </w:rPr>
        <w:footnoteRef/>
      </w:r>
      <w:r>
        <w:rPr>
          <w:rtl/>
        </w:rPr>
        <w:t xml:space="preserve"> </w:t>
      </w:r>
      <w:r>
        <w:rPr>
          <w:rFonts w:hint="cs"/>
          <w:rtl/>
        </w:rPr>
        <w:t>ס"ח התשס"ד, עמ' 46.</w:t>
      </w:r>
    </w:p>
  </w:footnote>
  <w:footnote w:id="3">
    <w:p w14:paraId="41B53B5D" w14:textId="77777777" w:rsidR="006A30A6" w:rsidRDefault="006A30A6" w:rsidP="006A30A6">
      <w:pPr>
        <w:pStyle w:val="a4"/>
      </w:pPr>
      <w:r>
        <w:rPr>
          <w:rStyle w:val="a5"/>
        </w:rPr>
        <w:footnoteRef/>
      </w:r>
      <w:r>
        <w:rPr>
          <w:rtl/>
        </w:rPr>
        <w:t xml:space="preserve"> </w:t>
      </w:r>
      <w:r>
        <w:rPr>
          <w:rFonts w:hint="cs"/>
          <w:rtl/>
        </w:rPr>
        <w:t>ס"ח התשל"ו, עמ' 280.</w:t>
      </w:r>
    </w:p>
  </w:footnote>
  <w:footnote w:id="4">
    <w:p w14:paraId="72AA87BD" w14:textId="28C7E91D" w:rsidR="001C350F" w:rsidRDefault="001C350F">
      <w:pPr>
        <w:pStyle w:val="a4"/>
      </w:pPr>
      <w:r>
        <w:rPr>
          <w:rStyle w:val="a5"/>
        </w:rPr>
        <w:footnoteRef/>
      </w:r>
      <w:r>
        <w:rPr>
          <w:rtl/>
        </w:rPr>
        <w:t xml:space="preserve"> </w:t>
      </w:r>
      <w:r>
        <w:rPr>
          <w:rFonts w:hint="cs"/>
          <w:rtl/>
        </w:rPr>
        <w:t xml:space="preserve">ס"ח התשס"ד, עמ' 46. </w:t>
      </w:r>
    </w:p>
  </w:footnote>
  <w:footnote w:id="5">
    <w:p w14:paraId="60B33D31" w14:textId="77777777" w:rsidR="006A30A6" w:rsidRDefault="006A30A6" w:rsidP="006A30A6">
      <w:pPr>
        <w:pStyle w:val="a4"/>
        <w:rPr>
          <w:rtl/>
        </w:rPr>
      </w:pPr>
      <w:r>
        <w:rPr>
          <w:rStyle w:val="a5"/>
        </w:rPr>
        <w:footnoteRef/>
      </w:r>
      <w:r>
        <w:rPr>
          <w:rtl/>
        </w:rPr>
        <w:t xml:space="preserve"> </w:t>
      </w:r>
      <w:r>
        <w:rPr>
          <w:rFonts w:hint="cs"/>
          <w:rtl/>
        </w:rPr>
        <w:t>ס"ח התשמ"א, עמ' 30.</w:t>
      </w:r>
    </w:p>
  </w:footnote>
  <w:footnote w:id="6">
    <w:p w14:paraId="573F7BE8" w14:textId="77777777" w:rsidR="006A30A6" w:rsidRDefault="006A30A6" w:rsidP="006A30A6">
      <w:pPr>
        <w:pStyle w:val="a4"/>
        <w:rPr>
          <w:rtl/>
        </w:rPr>
      </w:pPr>
      <w:r>
        <w:rPr>
          <w:rStyle w:val="a5"/>
        </w:rPr>
        <w:footnoteRef/>
      </w:r>
      <w:r>
        <w:rPr>
          <w:rtl/>
        </w:rPr>
        <w:t xml:space="preserve"> </w:t>
      </w:r>
      <w:r>
        <w:rPr>
          <w:rFonts w:hint="cs"/>
          <w:rtl/>
        </w:rPr>
        <w:t>ס"ח התשנ"ה, עמ' 210.</w:t>
      </w:r>
    </w:p>
  </w:footnote>
  <w:footnote w:id="7">
    <w:p w14:paraId="39815DD4" w14:textId="77777777" w:rsidR="00906E97" w:rsidRDefault="00906E97" w:rsidP="006A30A6">
      <w:pPr>
        <w:pStyle w:val="a4"/>
        <w:rPr>
          <w:rtl/>
        </w:rPr>
      </w:pPr>
      <w:r>
        <w:rPr>
          <w:rStyle w:val="a5"/>
        </w:rPr>
        <w:footnoteRef/>
      </w:r>
      <w:r>
        <w:rPr>
          <w:rFonts w:hint="cs"/>
          <w:rtl/>
        </w:rPr>
        <w:t xml:space="preserve"> ס"ח התשס"ח, עמ'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473FF"/>
    <w:rsid w:val="00152609"/>
    <w:rsid w:val="00153E1B"/>
    <w:rsid w:val="001A0623"/>
    <w:rsid w:val="001B6229"/>
    <w:rsid w:val="001C23B0"/>
    <w:rsid w:val="001C350F"/>
    <w:rsid w:val="001D7AAF"/>
    <w:rsid w:val="00203A7F"/>
    <w:rsid w:val="0021633A"/>
    <w:rsid w:val="002200A1"/>
    <w:rsid w:val="00223292"/>
    <w:rsid w:val="002362BF"/>
    <w:rsid w:val="00241B97"/>
    <w:rsid w:val="002425D1"/>
    <w:rsid w:val="00246756"/>
    <w:rsid w:val="00251E58"/>
    <w:rsid w:val="00254605"/>
    <w:rsid w:val="00254D0F"/>
    <w:rsid w:val="00266D86"/>
    <w:rsid w:val="002728B4"/>
    <w:rsid w:val="0027600C"/>
    <w:rsid w:val="00290ABA"/>
    <w:rsid w:val="00292712"/>
    <w:rsid w:val="002A487D"/>
    <w:rsid w:val="002C2E29"/>
    <w:rsid w:val="002C3041"/>
    <w:rsid w:val="002D1EE3"/>
    <w:rsid w:val="002F1D80"/>
    <w:rsid w:val="003232A2"/>
    <w:rsid w:val="00325C14"/>
    <w:rsid w:val="00347395"/>
    <w:rsid w:val="0036422C"/>
    <w:rsid w:val="003710F6"/>
    <w:rsid w:val="00386E88"/>
    <w:rsid w:val="00396585"/>
    <w:rsid w:val="003D6E38"/>
    <w:rsid w:val="003D74A0"/>
    <w:rsid w:val="004033D8"/>
    <w:rsid w:val="004073F0"/>
    <w:rsid w:val="00412A7D"/>
    <w:rsid w:val="00416B4D"/>
    <w:rsid w:val="00417CFC"/>
    <w:rsid w:val="004879F1"/>
    <w:rsid w:val="004A06DC"/>
    <w:rsid w:val="004B24ED"/>
    <w:rsid w:val="004B6625"/>
    <w:rsid w:val="004C4444"/>
    <w:rsid w:val="004D2D82"/>
    <w:rsid w:val="004D3876"/>
    <w:rsid w:val="004E4552"/>
    <w:rsid w:val="004E6CDF"/>
    <w:rsid w:val="00553C9D"/>
    <w:rsid w:val="00562739"/>
    <w:rsid w:val="00562A66"/>
    <w:rsid w:val="005B064E"/>
    <w:rsid w:val="005D51AE"/>
    <w:rsid w:val="0062674B"/>
    <w:rsid w:val="006363B2"/>
    <w:rsid w:val="00644940"/>
    <w:rsid w:val="006818A9"/>
    <w:rsid w:val="006A2D81"/>
    <w:rsid w:val="006A30A6"/>
    <w:rsid w:val="006C1D0D"/>
    <w:rsid w:val="0070601E"/>
    <w:rsid w:val="00712C72"/>
    <w:rsid w:val="00735FE9"/>
    <w:rsid w:val="00763CAA"/>
    <w:rsid w:val="00765F66"/>
    <w:rsid w:val="0078664F"/>
    <w:rsid w:val="007912DF"/>
    <w:rsid w:val="007C3FA6"/>
    <w:rsid w:val="007D585A"/>
    <w:rsid w:val="007D5A12"/>
    <w:rsid w:val="007E59F9"/>
    <w:rsid w:val="00810BCD"/>
    <w:rsid w:val="00812C98"/>
    <w:rsid w:val="00814D92"/>
    <w:rsid w:val="0083181D"/>
    <w:rsid w:val="00836EE8"/>
    <w:rsid w:val="00843EB2"/>
    <w:rsid w:val="00865572"/>
    <w:rsid w:val="00874BBC"/>
    <w:rsid w:val="00892135"/>
    <w:rsid w:val="00895449"/>
    <w:rsid w:val="00897879"/>
    <w:rsid w:val="008A27B8"/>
    <w:rsid w:val="008A6870"/>
    <w:rsid w:val="008C2DDC"/>
    <w:rsid w:val="008C7516"/>
    <w:rsid w:val="008D01F4"/>
    <w:rsid w:val="008E6EC7"/>
    <w:rsid w:val="008F0D63"/>
    <w:rsid w:val="008F1308"/>
    <w:rsid w:val="008F291B"/>
    <w:rsid w:val="008F2C35"/>
    <w:rsid w:val="008F6665"/>
    <w:rsid w:val="00904591"/>
    <w:rsid w:val="00905E5F"/>
    <w:rsid w:val="00906E97"/>
    <w:rsid w:val="0091204F"/>
    <w:rsid w:val="009203DB"/>
    <w:rsid w:val="00923CD4"/>
    <w:rsid w:val="00930EFE"/>
    <w:rsid w:val="00943386"/>
    <w:rsid w:val="009456B6"/>
    <w:rsid w:val="00957589"/>
    <w:rsid w:val="00965E2F"/>
    <w:rsid w:val="00966D06"/>
    <w:rsid w:val="00982412"/>
    <w:rsid w:val="00983A8D"/>
    <w:rsid w:val="009A0DB8"/>
    <w:rsid w:val="009A7257"/>
    <w:rsid w:val="009D6E0A"/>
    <w:rsid w:val="009E1E33"/>
    <w:rsid w:val="009E5CEE"/>
    <w:rsid w:val="00A04BB3"/>
    <w:rsid w:val="00A14672"/>
    <w:rsid w:val="00A26BD6"/>
    <w:rsid w:val="00A27BE4"/>
    <w:rsid w:val="00A31032"/>
    <w:rsid w:val="00A443CF"/>
    <w:rsid w:val="00A6611D"/>
    <w:rsid w:val="00A82CB7"/>
    <w:rsid w:val="00A942C1"/>
    <w:rsid w:val="00AA00FD"/>
    <w:rsid w:val="00AA2F03"/>
    <w:rsid w:val="00AA7169"/>
    <w:rsid w:val="00AC36F7"/>
    <w:rsid w:val="00AC63A4"/>
    <w:rsid w:val="00AD239E"/>
    <w:rsid w:val="00B10265"/>
    <w:rsid w:val="00B16A99"/>
    <w:rsid w:val="00B21211"/>
    <w:rsid w:val="00B35784"/>
    <w:rsid w:val="00B733A7"/>
    <w:rsid w:val="00B75C91"/>
    <w:rsid w:val="00B975AD"/>
    <w:rsid w:val="00BC45FB"/>
    <w:rsid w:val="00BF148D"/>
    <w:rsid w:val="00C10803"/>
    <w:rsid w:val="00C23B1A"/>
    <w:rsid w:val="00C310EB"/>
    <w:rsid w:val="00C9176A"/>
    <w:rsid w:val="00CF1AA2"/>
    <w:rsid w:val="00D17774"/>
    <w:rsid w:val="00D62A99"/>
    <w:rsid w:val="00D63620"/>
    <w:rsid w:val="00D67EC6"/>
    <w:rsid w:val="00D8410D"/>
    <w:rsid w:val="00D867D7"/>
    <w:rsid w:val="00DB7060"/>
    <w:rsid w:val="00DE3153"/>
    <w:rsid w:val="00E06736"/>
    <w:rsid w:val="00E13C27"/>
    <w:rsid w:val="00E33BBD"/>
    <w:rsid w:val="00E374F2"/>
    <w:rsid w:val="00E45103"/>
    <w:rsid w:val="00E55A60"/>
    <w:rsid w:val="00E62778"/>
    <w:rsid w:val="00E63D38"/>
    <w:rsid w:val="00E665B9"/>
    <w:rsid w:val="00E80A8C"/>
    <w:rsid w:val="00EA01E6"/>
    <w:rsid w:val="00EA3DE8"/>
    <w:rsid w:val="00EA758F"/>
    <w:rsid w:val="00ED4A6F"/>
    <w:rsid w:val="00EF3A3A"/>
    <w:rsid w:val="00F32A59"/>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9478B5-61F2-45C7-BFA3-B0FAC977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BBAAFFC3-D1BA-4C5C-8EC4-E764BA12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1942</Words>
  <Characters>9715</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22</cp:revision>
  <cp:lastPrinted>2017-12-28T09:21:00Z</cp:lastPrinted>
  <dcterms:created xsi:type="dcterms:W3CDTF">2015-04-20T09:58:00Z</dcterms:created>
  <dcterms:modified xsi:type="dcterms:W3CDTF">2017-12-28T09:22:00Z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2024438</vt:r8>
  </property>
</Properties>
</file>