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2024566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proofErr w:type="spellStart"/>
      <w:r>
        <w:rPr>
          <w:rFonts w:hint="cs"/>
          <w:b/>
          <w:bCs/>
          <w:rtl/>
        </w:rPr>
        <w:t>מוסי</w:t>
      </w:r>
      <w:proofErr w:type="spellEnd"/>
      <w:r>
        <w:rPr>
          <w:rFonts w:hint="cs"/>
          <w:b/>
          <w:bCs/>
          <w:rtl/>
        </w:rPr>
        <w:t xml:space="preserve"> רז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אחמד טיבי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תמר זנדברג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כהן-פארן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דב </w:t>
      </w:r>
      <w:proofErr w:type="spellStart"/>
      <w:r>
        <w:rPr>
          <w:rFonts w:hint="cs"/>
          <w:b/>
          <w:bCs/>
          <w:rtl/>
        </w:rPr>
        <w:t>חנין</w:t>
      </w:r>
      <w:bookmarkEnd w:id="3"/>
      <w:proofErr w:type="spellEnd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4" w:name="Private_Number"/>
      <w:r>
        <w:rPr>
          <w:rFonts w:hint="cs"/>
          <w:rtl/>
        </w:rPr>
        <w:t>פ/4883/20</w:t>
      </w:r>
      <w:bookmarkEnd w:id="4"/>
    </w:p>
    <w:p w14:paraId="7F6961AE" w14:textId="08073FB2" w:rsidR="00E13C27" w:rsidRDefault="00A443CF" w:rsidP="007D251D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>הצעת חוק לתיקון פקודת העיריות (ייצוג גופים לא ממשלתיים לשמירת איכות הסביבה ב</w:t>
      </w:r>
      <w:r w:rsidR="007D251D">
        <w:rPr>
          <w:rFonts w:hint="cs"/>
          <w:rtl/>
        </w:rPr>
        <w:t>ו</w:t>
      </w:r>
      <w:r>
        <w:rPr>
          <w:rFonts w:hint="cs"/>
          <w:rtl/>
        </w:rPr>
        <w:t xml:space="preserve">ועדות ממלכתיות), </w:t>
      </w:r>
      <w:proofErr w:type="spellStart"/>
      <w:r>
        <w:rPr>
          <w:rFonts w:hint="cs"/>
          <w:rtl/>
        </w:rPr>
        <w:t>התשע"ח</w:t>
      </w:r>
      <w:proofErr w:type="spellEnd"/>
      <w:r w:rsidR="007D251D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5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035EEF3D" w14:textId="77777777" w:rsidTr="00A33F57">
        <w:trPr>
          <w:cantSplit/>
          <w:trHeight w:val="60"/>
        </w:trPr>
        <w:tc>
          <w:tcPr>
            <w:tcW w:w="1871" w:type="dxa"/>
          </w:tcPr>
          <w:p w14:paraId="3863FF98" w14:textId="604A42A5" w:rsidR="002F1D80" w:rsidRDefault="00A33F57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8</w:t>
            </w:r>
          </w:p>
        </w:tc>
        <w:tc>
          <w:tcPr>
            <w:tcW w:w="624" w:type="dxa"/>
          </w:tcPr>
          <w:p w14:paraId="6F513EF6" w14:textId="57966E64" w:rsidR="002F1D80" w:rsidRDefault="00A33F57" w:rsidP="00A33F57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1AE94DEB" w14:textId="57B2FDDF" w:rsidR="002F1D80" w:rsidRPr="00A33F57" w:rsidRDefault="00A33F57" w:rsidP="00A33F57">
            <w:pPr>
              <w:pStyle w:val="Hesber"/>
              <w:ind w:firstLine="0"/>
            </w:pPr>
            <w:r>
              <w:rPr>
                <w:rFonts w:hint="cs"/>
                <w:rtl/>
              </w:rPr>
              <w:t>בפקודת העיריות</w:t>
            </w:r>
            <w:r>
              <w:rPr>
                <w:rStyle w:val="a6"/>
                <w:rtl/>
              </w:rPr>
              <w:footnoteReference w:id="2"/>
            </w:r>
            <w:r w:rsidR="00DE047A">
              <w:rPr>
                <w:rFonts w:hint="cs"/>
                <w:rtl/>
              </w:rPr>
              <w:t xml:space="preserve">, בסעיף 8, </w:t>
            </w:r>
            <w:r>
              <w:rPr>
                <w:rFonts w:hint="cs"/>
                <w:rtl/>
              </w:rPr>
              <w:t>האמור ב</w:t>
            </w:r>
            <w:r w:rsidR="00DE047A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 יסומן "(א)" ואחריו יבוא:</w:t>
            </w:r>
          </w:p>
        </w:tc>
      </w:tr>
      <w:tr w:rsidR="00FA4729" w14:paraId="030E6C38" w14:textId="77777777" w:rsidTr="009F0FE6">
        <w:trPr>
          <w:cantSplit/>
          <w:trHeight w:val="60"/>
        </w:trPr>
        <w:tc>
          <w:tcPr>
            <w:tcW w:w="1871" w:type="dxa"/>
          </w:tcPr>
          <w:p w14:paraId="15C0583C" w14:textId="77777777" w:rsidR="00FA4729" w:rsidRDefault="00FA4729">
            <w:pPr>
              <w:pStyle w:val="TableSideHeading"/>
            </w:pPr>
          </w:p>
        </w:tc>
        <w:tc>
          <w:tcPr>
            <w:tcW w:w="624" w:type="dxa"/>
          </w:tcPr>
          <w:p w14:paraId="0F05B005" w14:textId="77777777" w:rsidR="00FA4729" w:rsidRDefault="00FA4729">
            <w:pPr>
              <w:pStyle w:val="TableText"/>
            </w:pPr>
          </w:p>
        </w:tc>
        <w:tc>
          <w:tcPr>
            <w:tcW w:w="7146" w:type="dxa"/>
          </w:tcPr>
          <w:p w14:paraId="3D3A5CFF" w14:textId="1895832C" w:rsidR="00FA4729" w:rsidRDefault="00FA4729" w:rsidP="00FA4729">
            <w:pPr>
              <w:pStyle w:val="Hesber"/>
              <w:ind w:firstLine="0"/>
            </w:pPr>
            <w:r>
              <w:rPr>
                <w:rFonts w:hint="cs"/>
                <w:rtl/>
              </w:rPr>
              <w:t>"(ב)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ציווה השר על עריכת חקירה כאמור בסעיף קטן (א), ימנה השר כחבר ועדת חקירה </w:t>
            </w:r>
            <w:r w:rsidRPr="007A74CD">
              <w:rPr>
                <w:rtl/>
              </w:rPr>
              <w:t>נציג</w:t>
            </w:r>
            <w:r>
              <w:rPr>
                <w:rFonts w:hint="cs"/>
                <w:rtl/>
              </w:rPr>
              <w:t xml:space="preserve"> של הגופים הציבוריים שעניינם בשמירת איכות הסביבה, מתוך רשימת מועמדים שיגישו לו גופים אלה; לעניין זה, "הגופים הציבוריים שעניינם בשמירת איכות הסביבה"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הגופים המפורטים בתוספת לחוק ייצוג גופים ציבוריים שעניינם בשמירת איכות הסביבה (תיקוני חקיקה), </w:t>
            </w:r>
            <w:proofErr w:type="spellStart"/>
            <w:r>
              <w:rPr>
                <w:rFonts w:hint="cs"/>
                <w:rtl/>
              </w:rPr>
              <w:t>התשס"ג</w:t>
            </w:r>
            <w:proofErr w:type="spellEnd"/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2002</w:t>
            </w:r>
            <w:r>
              <w:rPr>
                <w:rStyle w:val="a6"/>
                <w:rtl/>
              </w:rPr>
              <w:footnoteReference w:id="3"/>
            </w:r>
            <w:r>
              <w:rPr>
                <w:rFonts w:hint="cs"/>
                <w:rtl/>
              </w:rPr>
              <w:t>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6EBEA22" w14:textId="34F441C3" w:rsidR="00A33F57" w:rsidRPr="008354BF" w:rsidRDefault="00187D99" w:rsidP="006F5C1D">
      <w:pPr>
        <w:pStyle w:val="Hesber"/>
        <w:spacing w:line="240" w:lineRule="auto"/>
        <w:rPr>
          <w:rtl/>
        </w:rPr>
      </w:pPr>
      <w:r w:rsidRPr="008354BF">
        <w:rPr>
          <w:rtl/>
        </w:rPr>
        <w:t xml:space="preserve">על פי </w:t>
      </w:r>
      <w:r w:rsidR="00A33F57" w:rsidRPr="008354BF">
        <w:rPr>
          <w:rtl/>
        </w:rPr>
        <w:t xml:space="preserve">פקודת העיריות </w:t>
      </w:r>
      <w:r w:rsidRPr="008354BF">
        <w:rPr>
          <w:rtl/>
        </w:rPr>
        <w:t xml:space="preserve">בסמכותו של שר הפנים </w:t>
      </w:r>
      <w:r w:rsidR="00A33F57" w:rsidRPr="008354BF">
        <w:rPr>
          <w:rtl/>
        </w:rPr>
        <w:t>ל</w:t>
      </w:r>
      <w:r w:rsidRPr="008354BF">
        <w:rPr>
          <w:rtl/>
        </w:rPr>
        <w:t xml:space="preserve">הורות על </w:t>
      </w:r>
      <w:r w:rsidR="00A33F57" w:rsidRPr="008354BF">
        <w:rPr>
          <w:rtl/>
        </w:rPr>
        <w:t>ס</w:t>
      </w:r>
      <w:r w:rsidRPr="008354BF">
        <w:rPr>
          <w:rtl/>
        </w:rPr>
        <w:t>י</w:t>
      </w:r>
      <w:r w:rsidR="00A33F57" w:rsidRPr="008354BF">
        <w:rPr>
          <w:rtl/>
        </w:rPr>
        <w:t>פ</w:t>
      </w:r>
      <w:r w:rsidRPr="008354BF">
        <w:rPr>
          <w:rtl/>
        </w:rPr>
        <w:t>ו</w:t>
      </w:r>
      <w:r w:rsidR="00A33F57" w:rsidRPr="008354BF">
        <w:rPr>
          <w:rtl/>
        </w:rPr>
        <w:t xml:space="preserve">ח שטחים לתחום </w:t>
      </w:r>
      <w:r w:rsidR="00363EA0" w:rsidRPr="008354BF">
        <w:rPr>
          <w:rtl/>
        </w:rPr>
        <w:t xml:space="preserve">שיפוט </w:t>
      </w:r>
      <w:r w:rsidR="00A33F57" w:rsidRPr="008354BF">
        <w:rPr>
          <w:rtl/>
        </w:rPr>
        <w:t>עירוני</w:t>
      </w:r>
      <w:r w:rsidRPr="008354BF">
        <w:rPr>
          <w:rtl/>
        </w:rPr>
        <w:t xml:space="preserve"> של רשות מסוימת</w:t>
      </w:r>
      <w:r w:rsidR="00363EA0" w:rsidRPr="008354BF">
        <w:rPr>
          <w:rtl/>
        </w:rPr>
        <w:t xml:space="preserve"> </w:t>
      </w:r>
      <w:r w:rsidRPr="008354BF">
        <w:rPr>
          <w:rtl/>
        </w:rPr>
        <w:t>אך קודם לכן עליו</w:t>
      </w:r>
      <w:r w:rsidR="00A33F57" w:rsidRPr="008354BF">
        <w:rPr>
          <w:rtl/>
        </w:rPr>
        <w:t xml:space="preserve"> להיוועץ</w:t>
      </w:r>
      <w:r w:rsidRPr="008354BF">
        <w:rPr>
          <w:rtl/>
        </w:rPr>
        <w:t xml:space="preserve"> </w:t>
      </w:r>
      <w:r w:rsidR="00A33F57" w:rsidRPr="008354BF">
        <w:rPr>
          <w:rtl/>
        </w:rPr>
        <w:t>עם ועדת חקירה</w:t>
      </w:r>
      <w:r w:rsidRPr="008354BF">
        <w:rPr>
          <w:rtl/>
        </w:rPr>
        <w:t xml:space="preserve"> אותה הוא ממנה,</w:t>
      </w:r>
      <w:r w:rsidR="00E62E20">
        <w:rPr>
          <w:rtl/>
        </w:rPr>
        <w:t xml:space="preserve"> הידועה יותר בשם "ועדת גבולות".</w:t>
      </w:r>
      <w:r w:rsidR="00E62E20">
        <w:rPr>
          <w:rFonts w:hint="cs"/>
          <w:rtl/>
        </w:rPr>
        <w:t xml:space="preserve"> כיום, חרף ההשלכות של סיפוח שכזה על איכות חייהם של התושבים במגוון תחומים, אין נציג בוועדה אשר יביא בפני חבריה את השיקולים הסביבתיים-חברתיים שנובעים מהחלטה כזו או אחרת. </w:t>
      </w:r>
    </w:p>
    <w:p w14:paraId="2381D04D" w14:textId="00B2C69E" w:rsidR="00A33F57" w:rsidRPr="00866DD0" w:rsidRDefault="00A33F57" w:rsidP="006F5C1D">
      <w:pPr>
        <w:pStyle w:val="Hesber"/>
        <w:spacing w:line="240" w:lineRule="auto"/>
        <w:rPr>
          <w:rtl/>
        </w:rPr>
      </w:pPr>
      <w:r w:rsidRPr="00866DD0">
        <w:rPr>
          <w:rFonts w:hint="eastAsia"/>
          <w:rtl/>
        </w:rPr>
        <w:t>במדינות</w:t>
      </w:r>
      <w:r w:rsidRPr="00866DD0">
        <w:rPr>
          <w:rtl/>
        </w:rPr>
        <w:t xml:space="preserve"> דמוקרטיות </w:t>
      </w:r>
      <w:r w:rsidR="00E20BA1" w:rsidRPr="00866DD0">
        <w:rPr>
          <w:rFonts w:hint="eastAsia"/>
          <w:rtl/>
        </w:rPr>
        <w:t>רבות</w:t>
      </w:r>
      <w:r w:rsidRPr="00866DD0">
        <w:rPr>
          <w:rtl/>
        </w:rPr>
        <w:t xml:space="preserve"> </w:t>
      </w:r>
      <w:r w:rsidR="00363EA0" w:rsidRPr="00866DD0">
        <w:rPr>
          <w:rFonts w:hint="eastAsia"/>
          <w:rtl/>
        </w:rPr>
        <w:t>קיימת</w:t>
      </w:r>
      <w:r w:rsidRPr="00866DD0">
        <w:rPr>
          <w:rtl/>
        </w:rPr>
        <w:t xml:space="preserve"> </w:t>
      </w:r>
      <w:r w:rsidR="00363EA0" w:rsidRPr="00866DD0">
        <w:rPr>
          <w:rFonts w:hint="eastAsia"/>
          <w:rtl/>
        </w:rPr>
        <w:t>כיום</w:t>
      </w:r>
      <w:r w:rsidR="00363EA0" w:rsidRPr="00866DD0">
        <w:rPr>
          <w:rtl/>
        </w:rPr>
        <w:t xml:space="preserve"> </w:t>
      </w:r>
      <w:r w:rsidRPr="00866DD0">
        <w:rPr>
          <w:rFonts w:hint="eastAsia"/>
          <w:rtl/>
        </w:rPr>
        <w:t>מגמה</w:t>
      </w:r>
      <w:r w:rsidRPr="00866DD0">
        <w:rPr>
          <w:rtl/>
        </w:rPr>
        <w:t xml:space="preserve"> להעניק לארגונים לא ממשלתיים מעמד בהליכי קבלת החלטות </w:t>
      </w:r>
      <w:r w:rsidRPr="00866DD0">
        <w:rPr>
          <w:rFonts w:hint="eastAsia"/>
          <w:rtl/>
        </w:rPr>
        <w:t>ממלכתיות</w:t>
      </w:r>
      <w:r w:rsidRPr="00866DD0">
        <w:rPr>
          <w:rtl/>
        </w:rPr>
        <w:t xml:space="preserve">. </w:t>
      </w:r>
      <w:r w:rsidRPr="00866DD0">
        <w:rPr>
          <w:rFonts w:hint="eastAsia"/>
          <w:rtl/>
        </w:rPr>
        <w:t>עקרונות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השיטה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הדמוקרטית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מעודדים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את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שיתוף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הציבור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הרחב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בהליכים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אלה</w:t>
      </w:r>
      <w:r w:rsidRPr="00866DD0">
        <w:rPr>
          <w:rtl/>
        </w:rPr>
        <w:t xml:space="preserve">. </w:t>
      </w:r>
      <w:r w:rsidRPr="00866DD0">
        <w:rPr>
          <w:rFonts w:hint="eastAsia"/>
          <w:rtl/>
        </w:rPr>
        <w:t>באמצעות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שיתופם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של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הארגונים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האזרחיים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הלא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ממשלתיים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בהליכי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קבלת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ההחלטות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מובטחת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יכולת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ההשפעה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של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האזרחים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על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סביבתם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ואיכות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חייהם</w:t>
      </w:r>
      <w:r w:rsidRPr="00866DD0">
        <w:rPr>
          <w:rtl/>
        </w:rPr>
        <w:t>.</w:t>
      </w:r>
    </w:p>
    <w:p w14:paraId="4620EB6B" w14:textId="4D386E0D" w:rsidR="00A33F57" w:rsidRPr="008354BF" w:rsidRDefault="00A33F57" w:rsidP="006F5C1D">
      <w:pPr>
        <w:pStyle w:val="Hesber"/>
        <w:spacing w:line="240" w:lineRule="auto"/>
        <w:rPr>
          <w:rtl/>
        </w:rPr>
      </w:pPr>
      <w:r w:rsidRPr="008354BF">
        <w:rPr>
          <w:rtl/>
        </w:rPr>
        <w:t xml:space="preserve">עוד בשנת </w:t>
      </w:r>
      <w:r w:rsidR="00436D3C" w:rsidRPr="008354BF">
        <w:rPr>
          <w:rtl/>
        </w:rPr>
        <w:t>1976</w:t>
      </w:r>
      <w:r w:rsidRPr="008354BF">
        <w:rPr>
          <w:rtl/>
        </w:rPr>
        <w:t xml:space="preserve"> הכיר המחוקק הישראלי בחשיבותו של ייצוג זה</w:t>
      </w:r>
      <w:r w:rsidR="00483D4C" w:rsidRPr="008354BF">
        <w:rPr>
          <w:rtl/>
        </w:rPr>
        <w:t xml:space="preserve"> </w:t>
      </w:r>
      <w:r w:rsidRPr="008354BF">
        <w:rPr>
          <w:rtl/>
        </w:rPr>
        <w:t>במסגרת תיקון</w:t>
      </w:r>
      <w:r w:rsidR="00015F7B" w:rsidRPr="008354BF">
        <w:rPr>
          <w:rtl/>
        </w:rPr>
        <w:t xml:space="preserve"> מספר 7</w:t>
      </w:r>
      <w:r w:rsidRPr="008354BF">
        <w:rPr>
          <w:rtl/>
        </w:rPr>
        <w:t xml:space="preserve"> </w:t>
      </w:r>
      <w:r w:rsidR="00015F7B" w:rsidRPr="008354BF">
        <w:rPr>
          <w:rtl/>
        </w:rPr>
        <w:t>ל</w:t>
      </w:r>
      <w:r w:rsidRPr="008354BF">
        <w:rPr>
          <w:rtl/>
        </w:rPr>
        <w:t xml:space="preserve">חוק התכנון </w:t>
      </w:r>
      <w:r w:rsidRPr="008354BF">
        <w:rPr>
          <w:rtl/>
        </w:rPr>
        <w:lastRenderedPageBreak/>
        <w:t>והבנייה</w:t>
      </w:r>
      <w:r w:rsidR="00436D3C" w:rsidRPr="008354BF">
        <w:rPr>
          <w:rtl/>
        </w:rPr>
        <w:t xml:space="preserve">, </w:t>
      </w:r>
      <w:proofErr w:type="spellStart"/>
      <w:r w:rsidR="00436D3C" w:rsidRPr="008354BF">
        <w:rPr>
          <w:rtl/>
        </w:rPr>
        <w:t>התשכ"ה</w:t>
      </w:r>
      <w:proofErr w:type="spellEnd"/>
      <w:r w:rsidR="00436D3C" w:rsidRPr="008354BF">
        <w:rPr>
          <w:rtl/>
        </w:rPr>
        <w:t>–1965</w:t>
      </w:r>
      <w:r w:rsidRPr="008354BF">
        <w:rPr>
          <w:rtl/>
        </w:rPr>
        <w:t>, שבו נקבע כי נציג של ארגון הגג של ארגונים שעניינם איכות הסביבה יהיה חבר במועצה הארצית לתכנון ובנייה.</w:t>
      </w:r>
    </w:p>
    <w:p w14:paraId="77F452B7" w14:textId="6E1ECB1B" w:rsidR="00A33F57" w:rsidRPr="008354BF" w:rsidRDefault="00015F7B" w:rsidP="006F5C1D">
      <w:pPr>
        <w:pStyle w:val="Hesber"/>
        <w:spacing w:line="240" w:lineRule="auto"/>
        <w:rPr>
          <w:rtl/>
        </w:rPr>
      </w:pPr>
      <w:r w:rsidRPr="008354BF">
        <w:rPr>
          <w:rtl/>
        </w:rPr>
        <w:t xml:space="preserve">לפיכך, מוצע </w:t>
      </w:r>
      <w:r w:rsidR="00A33F57" w:rsidRPr="008354BF">
        <w:rPr>
          <w:rtl/>
        </w:rPr>
        <w:t>מטעמים אלה להוסיף נציג ציבור מתחום איכות הסביבה לוועדת החקירה הסטטוטורית לקביעת גבולות.</w:t>
      </w:r>
    </w:p>
    <w:p w14:paraId="702E2B27" w14:textId="07415215" w:rsidR="00A33F57" w:rsidRDefault="00A33F57" w:rsidP="006F5C1D">
      <w:pPr>
        <w:pStyle w:val="Hesber"/>
        <w:spacing w:line="240" w:lineRule="auto"/>
        <w:rPr>
          <w:rtl/>
        </w:rPr>
      </w:pPr>
      <w:r w:rsidRPr="00866DD0">
        <w:rPr>
          <w:rFonts w:hint="eastAsia"/>
          <w:rtl/>
        </w:rPr>
        <w:t>הצעת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חוק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דומה</w:t>
      </w:r>
      <w:r w:rsidR="00015F7B" w:rsidRPr="00866DD0">
        <w:rPr>
          <w:rtl/>
        </w:rPr>
        <w:t xml:space="preserve"> בעיקרה</w:t>
      </w:r>
      <w:r w:rsidRPr="00866DD0">
        <w:rPr>
          <w:rtl/>
        </w:rPr>
        <w:t xml:space="preserve"> </w:t>
      </w:r>
      <w:r w:rsidR="008E19BD" w:rsidRPr="00866DD0">
        <w:rPr>
          <w:rFonts w:hint="eastAsia"/>
          <w:rtl/>
        </w:rPr>
        <w:t>הונחה</w:t>
      </w:r>
      <w:r w:rsidR="008E19BD" w:rsidRPr="00866DD0">
        <w:rPr>
          <w:rtl/>
        </w:rPr>
        <w:t xml:space="preserve"> </w:t>
      </w:r>
      <w:r w:rsidRPr="00866DD0">
        <w:rPr>
          <w:rFonts w:hint="eastAsia"/>
          <w:rtl/>
        </w:rPr>
        <w:t>על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שולחן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הכנסת</w:t>
      </w:r>
      <w:r w:rsidRPr="00866DD0">
        <w:rPr>
          <w:rtl/>
        </w:rPr>
        <w:t xml:space="preserve"> </w:t>
      </w:r>
      <w:r w:rsidRPr="00866DD0">
        <w:rPr>
          <w:rFonts w:hint="eastAsia"/>
          <w:rtl/>
        </w:rPr>
        <w:t>ה</w:t>
      </w:r>
      <w:r w:rsidR="008E19BD" w:rsidRPr="00866DD0">
        <w:rPr>
          <w:rFonts w:hint="eastAsia"/>
          <w:rtl/>
        </w:rPr>
        <w:t>חמש</w:t>
      </w:r>
      <w:r w:rsidR="00BC0F79">
        <w:rPr>
          <w:rFonts w:hint="cs"/>
          <w:rtl/>
        </w:rPr>
        <w:t>-</w:t>
      </w:r>
      <w:r w:rsidR="008E19BD" w:rsidRPr="00866DD0">
        <w:rPr>
          <w:rFonts w:hint="eastAsia"/>
          <w:rtl/>
        </w:rPr>
        <w:t>עשרה</w:t>
      </w:r>
      <w:r w:rsidRPr="00866DD0">
        <w:rPr>
          <w:rtl/>
        </w:rPr>
        <w:t xml:space="preserve"> על ידי חבר הכנסת </w:t>
      </w:r>
      <w:proofErr w:type="spellStart"/>
      <w:r w:rsidRPr="00866DD0">
        <w:rPr>
          <w:rFonts w:hint="eastAsia"/>
          <w:rtl/>
        </w:rPr>
        <w:t>מוסי</w:t>
      </w:r>
      <w:proofErr w:type="spellEnd"/>
      <w:r w:rsidR="00BC0F79">
        <w:rPr>
          <w:rtl/>
        </w:rPr>
        <w:t xml:space="preserve"> רז וקבוצת חברי הכנס</w:t>
      </w:r>
      <w:r w:rsidR="00BC0F79">
        <w:rPr>
          <w:rFonts w:hint="cs"/>
          <w:rtl/>
        </w:rPr>
        <w:t>ת (פ/3519).</w:t>
      </w:r>
    </w:p>
    <w:p w14:paraId="44FC197D" w14:textId="77777777" w:rsidR="00A60CC0" w:rsidRPr="00D73212" w:rsidRDefault="00A60CC0" w:rsidP="006F5C1D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166AA4B5" w14:textId="77777777" w:rsidR="00A60CC0" w:rsidRPr="00D73212" w:rsidRDefault="00A60CC0" w:rsidP="006F5C1D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143D747F" w14:textId="77777777" w:rsidR="00A60CC0" w:rsidRPr="00D73212" w:rsidRDefault="00A60CC0" w:rsidP="006F5C1D">
      <w:pPr>
        <w:pStyle w:val="Hesber"/>
        <w:spacing w:line="240" w:lineRule="auto"/>
        <w:rPr>
          <w:rFonts w:hint="cs"/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14AADD38" w14:textId="77777777" w:rsidR="00A60CC0" w:rsidRPr="00317312" w:rsidRDefault="00A60CC0" w:rsidP="006F5C1D">
      <w:pPr>
        <w:pStyle w:val="Hesber"/>
        <w:spacing w:line="240" w:lineRule="auto"/>
      </w:pPr>
      <w:r>
        <w:rPr>
          <w:rFonts w:hint="cs"/>
          <w:color w:val="auto"/>
          <w:rtl/>
          <w:lang w:eastAsia="en-US"/>
        </w:rPr>
        <w:t>ז' בטבת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25.12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  <w:bookmarkStart w:id="6" w:name="_GoBack"/>
      <w:bookmarkEnd w:id="6"/>
    </w:p>
    <w:sectPr w:rsidR="00A60CC0" w:rsidRPr="00317312" w:rsidSect="006F5C1D">
      <w:footerReference w:type="even" r:id="rId11"/>
      <w:footerReference w:type="default" r:id="rId12"/>
      <w:pgSz w:w="11907" w:h="16840" w:code="9"/>
      <w:pgMar w:top="567" w:right="1134" w:bottom="993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6F5C1D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028720D5" w14:textId="2C95C413" w:rsidR="00A33F57" w:rsidRDefault="00A33F57" w:rsidP="00DE047A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DE047A">
        <w:rPr>
          <w:rtl/>
        </w:rPr>
        <w:t>דיני מדינת ישראל, נוסח חדש 8, עמ' 197.</w:t>
      </w:r>
    </w:p>
  </w:footnote>
  <w:footnote w:id="3">
    <w:p w14:paraId="18219A63" w14:textId="55FF82D9" w:rsidR="00FA4729" w:rsidRDefault="00FA4729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התשס"ג</w:t>
      </w:r>
      <w:proofErr w:type="spellEnd"/>
      <w:r>
        <w:rPr>
          <w:rFonts w:hint="cs"/>
          <w:rtl/>
        </w:rPr>
        <w:t>, עמ' 118.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E6419"/>
    <w:multiLevelType w:val="hybridMultilevel"/>
    <w:tmpl w:val="CF1AB74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B347ED7"/>
    <w:multiLevelType w:val="hybridMultilevel"/>
    <w:tmpl w:val="CD8ACA0C"/>
    <w:lvl w:ilvl="0" w:tplc="7244FEA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3C051C"/>
    <w:multiLevelType w:val="hybridMultilevel"/>
    <w:tmpl w:val="A7F4CA9C"/>
    <w:lvl w:ilvl="0" w:tplc="ADC0386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15F7B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87D99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3C98"/>
    <w:rsid w:val="00325C14"/>
    <w:rsid w:val="00363EA0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36D3C"/>
    <w:rsid w:val="00483D4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6F5C1D"/>
    <w:rsid w:val="0070601E"/>
    <w:rsid w:val="00707C92"/>
    <w:rsid w:val="00712C72"/>
    <w:rsid w:val="00735FE9"/>
    <w:rsid w:val="00763CAA"/>
    <w:rsid w:val="00765F66"/>
    <w:rsid w:val="0078664F"/>
    <w:rsid w:val="007A74CD"/>
    <w:rsid w:val="007C3FA6"/>
    <w:rsid w:val="007D251D"/>
    <w:rsid w:val="007D585A"/>
    <w:rsid w:val="007D5A12"/>
    <w:rsid w:val="007E59F9"/>
    <w:rsid w:val="00810BCD"/>
    <w:rsid w:val="00812C98"/>
    <w:rsid w:val="00814D92"/>
    <w:rsid w:val="0083181D"/>
    <w:rsid w:val="008354BF"/>
    <w:rsid w:val="00843EB2"/>
    <w:rsid w:val="00865572"/>
    <w:rsid w:val="00866DD0"/>
    <w:rsid w:val="00874BBC"/>
    <w:rsid w:val="00892135"/>
    <w:rsid w:val="00895449"/>
    <w:rsid w:val="00897879"/>
    <w:rsid w:val="008A6870"/>
    <w:rsid w:val="008C2DDC"/>
    <w:rsid w:val="008C7516"/>
    <w:rsid w:val="008E19BD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33F57"/>
    <w:rsid w:val="00A443CF"/>
    <w:rsid w:val="00A60CC0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0F79"/>
    <w:rsid w:val="00BC45FB"/>
    <w:rsid w:val="00BF148D"/>
    <w:rsid w:val="00C23B1A"/>
    <w:rsid w:val="00C310EB"/>
    <w:rsid w:val="00C9176A"/>
    <w:rsid w:val="00CA50AD"/>
    <w:rsid w:val="00CF1AA2"/>
    <w:rsid w:val="00D17774"/>
    <w:rsid w:val="00D63620"/>
    <w:rsid w:val="00D8410D"/>
    <w:rsid w:val="00D867D7"/>
    <w:rsid w:val="00DB7060"/>
    <w:rsid w:val="00DE047A"/>
    <w:rsid w:val="00DE3153"/>
    <w:rsid w:val="00E06736"/>
    <w:rsid w:val="00E13C27"/>
    <w:rsid w:val="00E20BA1"/>
    <w:rsid w:val="00E33BBD"/>
    <w:rsid w:val="00E374F2"/>
    <w:rsid w:val="00E45103"/>
    <w:rsid w:val="00E55A60"/>
    <w:rsid w:val="00E62778"/>
    <w:rsid w:val="00E62E20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4729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rsid w:val="00A33F57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755F3-6F10-479D-9E77-5A4BC75FD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BE2684-9CCB-4159-B14E-887B8F62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19</cp:revision>
  <cp:lastPrinted>2017-12-20T08:08:00Z</cp:lastPrinted>
  <dcterms:created xsi:type="dcterms:W3CDTF">2015-04-20T09:58:00Z</dcterms:created>
  <dcterms:modified xsi:type="dcterms:W3CDTF">2017-12-20T08:08:00Z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2024566</vt:r8>
  </property>
</Properties>
</file>