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2023603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נאוה בוקר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אכרם חסון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פ/4795/20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75FC307" w14:textId="5F1D5A79" w:rsidR="00193791" w:rsidRDefault="00193791" w:rsidP="00980C2E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חוק-יסוד: הכנסת (תיקון </w:t>
      </w:r>
      <w:r w:rsidR="00980C2E">
        <w:rPr>
          <w:rFonts w:hint="eastAsia"/>
          <w:rtl/>
        </w:rPr>
        <w:t>–</w:t>
      </w:r>
      <w:bookmarkStart w:id="8" w:name="_GoBack"/>
      <w:bookmarkEnd w:id="8"/>
      <w:r>
        <w:rPr>
          <w:rFonts w:hint="cs"/>
          <w:rtl/>
        </w:rPr>
        <w:t xml:space="preserve"> ביטול הדרישה לוויתור על אזרחות זרה)</w:t>
      </w:r>
      <w:bookmarkEnd w:id="7"/>
    </w:p>
    <w:p w14:paraId="2FC9D715" w14:textId="77777777" w:rsidR="00193791" w:rsidRPr="00F67051" w:rsidRDefault="00193791" w:rsidP="00193791">
      <w:pPr>
        <w:pStyle w:val="HeadHatzaotHok"/>
        <w:rPr>
          <w:rtl/>
        </w:rPr>
      </w:pPr>
    </w:p>
    <w:tbl>
      <w:tblPr>
        <w:bidiVisual/>
        <w:tblW w:w="9780" w:type="dxa"/>
        <w:tblInd w:w="-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851"/>
        <w:gridCol w:w="6946"/>
      </w:tblGrid>
      <w:tr w:rsidR="00193791" w:rsidRPr="00A973BA" w14:paraId="4499496B" w14:textId="77777777" w:rsidTr="006D23FA">
        <w:trPr>
          <w:cantSplit/>
        </w:trPr>
        <w:tc>
          <w:tcPr>
            <w:tcW w:w="1983" w:type="dxa"/>
          </w:tcPr>
          <w:p w14:paraId="6D4D1E10" w14:textId="77777777" w:rsidR="00193791" w:rsidRPr="009A4070" w:rsidRDefault="00193791" w:rsidP="006D23FA">
            <w:pPr>
              <w:pStyle w:val="TableSideHeading"/>
              <w:tabs>
                <w:tab w:val="clear" w:pos="1247"/>
                <w:tab w:val="left" w:pos="1274"/>
              </w:tabs>
              <w:ind w:left="140" w:right="142"/>
              <w:rPr>
                <w:rtl/>
              </w:rPr>
            </w:pPr>
            <w:r>
              <w:rPr>
                <w:rFonts w:hint="cs"/>
                <w:rtl/>
              </w:rPr>
              <w:t>ביטול סעיף 16א</w:t>
            </w:r>
          </w:p>
        </w:tc>
        <w:tc>
          <w:tcPr>
            <w:tcW w:w="851" w:type="dxa"/>
          </w:tcPr>
          <w:p w14:paraId="4287390F" w14:textId="77777777" w:rsidR="00193791" w:rsidRPr="00B61FD2" w:rsidRDefault="00193791" w:rsidP="006D23FA">
            <w:pPr>
              <w:pStyle w:val="TableText"/>
              <w:numPr>
                <w:ilvl w:val="0"/>
                <w:numId w:val="15"/>
              </w:numPr>
              <w:ind w:right="283"/>
              <w:jc w:val="both"/>
            </w:pPr>
          </w:p>
        </w:tc>
        <w:tc>
          <w:tcPr>
            <w:tcW w:w="6946" w:type="dxa"/>
          </w:tcPr>
          <w:p w14:paraId="58A4C7FE" w14:textId="486774E2" w:rsidR="00193791" w:rsidRDefault="00193791" w:rsidP="004C0945">
            <w:pPr>
              <w:pStyle w:val="TableBlock"/>
              <w:ind w:left="142" w:right="284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Pr="00D5348A">
              <w:rPr>
                <w:rtl/>
              </w:rPr>
              <w:t>חוק</w:t>
            </w:r>
            <w:r w:rsidR="004C0945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יסוד: הכנסת</w:t>
            </w:r>
            <w:r w:rsidR="004C0945">
              <w:rPr>
                <w:rStyle w:val="a5"/>
                <w:rtl/>
              </w:rPr>
              <w:footnoteReference w:id="2"/>
            </w:r>
            <w:r>
              <w:rPr>
                <w:rFonts w:hint="cs"/>
                <w:rtl/>
              </w:rPr>
              <w:t xml:space="preserve">, סעיף 16א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בטל. </w:t>
            </w:r>
          </w:p>
        </w:tc>
      </w:tr>
    </w:tbl>
    <w:p w14:paraId="47A26829" w14:textId="77777777" w:rsidR="00193791" w:rsidRDefault="00193791" w:rsidP="00193791">
      <w:pPr>
        <w:pStyle w:val="HeadDivreiHesber"/>
        <w:rPr>
          <w:rtl/>
        </w:rPr>
      </w:pPr>
    </w:p>
    <w:p w14:paraId="3C82C203" w14:textId="77777777" w:rsidR="00193791" w:rsidRDefault="00193791" w:rsidP="00193791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F59D41D" w14:textId="3895B330" w:rsidR="00193791" w:rsidRPr="002D6439" w:rsidRDefault="00193791" w:rsidP="00D52DFB">
      <w:pPr>
        <w:pStyle w:val="Hesber"/>
        <w:rPr>
          <w:rtl/>
        </w:rPr>
      </w:pPr>
      <w:r w:rsidRPr="002D6439">
        <w:rPr>
          <w:rFonts w:hint="cs"/>
          <w:rtl/>
        </w:rPr>
        <w:t>חוק</w:t>
      </w:r>
      <w:r w:rsidR="00BB571F">
        <w:rPr>
          <w:rFonts w:hint="cs"/>
          <w:rtl/>
        </w:rPr>
        <w:t>-</w:t>
      </w:r>
      <w:r w:rsidRPr="002D6439">
        <w:rPr>
          <w:rFonts w:hint="cs"/>
          <w:rtl/>
        </w:rPr>
        <w:t xml:space="preserve">יסוד: הכנסת </w:t>
      </w:r>
      <w:r w:rsidR="0063209F">
        <w:rPr>
          <w:rFonts w:hint="cs"/>
          <w:rtl/>
        </w:rPr>
        <w:t xml:space="preserve">קובע כי </w:t>
      </w:r>
      <w:r w:rsidRPr="002D6439">
        <w:rPr>
          <w:rFonts w:hint="cs"/>
          <w:rtl/>
        </w:rPr>
        <w:t xml:space="preserve">חבר כנסת המחזיק באזרחות </w:t>
      </w:r>
      <w:r w:rsidR="0063209F">
        <w:rPr>
          <w:rFonts w:hint="cs"/>
          <w:rtl/>
        </w:rPr>
        <w:t>זרה נדרש</w:t>
      </w:r>
      <w:r w:rsidR="00D52DFB">
        <w:rPr>
          <w:rFonts w:hint="cs"/>
          <w:rtl/>
        </w:rPr>
        <w:t>,</w:t>
      </w:r>
      <w:r w:rsidRPr="002D6439">
        <w:rPr>
          <w:rFonts w:hint="cs"/>
          <w:rtl/>
        </w:rPr>
        <w:t xml:space="preserve"> </w:t>
      </w:r>
      <w:r w:rsidR="00D52DFB">
        <w:rPr>
          <w:rFonts w:hint="cs"/>
          <w:rtl/>
        </w:rPr>
        <w:t>במידה ודיני המדינה הזרה מאפשרים זאת,</w:t>
      </w:r>
      <w:r w:rsidR="00D52DFB" w:rsidRPr="002D6439">
        <w:rPr>
          <w:rFonts w:hint="cs"/>
          <w:rtl/>
        </w:rPr>
        <w:t xml:space="preserve"> </w:t>
      </w:r>
      <w:r w:rsidRPr="002D6439">
        <w:rPr>
          <w:rFonts w:hint="cs"/>
          <w:rtl/>
        </w:rPr>
        <w:t xml:space="preserve">להשתחרר מאזרחותו </w:t>
      </w:r>
      <w:r w:rsidR="0063209F">
        <w:rPr>
          <w:rFonts w:hint="cs"/>
          <w:rtl/>
        </w:rPr>
        <w:t>זו</w:t>
      </w:r>
      <w:r w:rsidR="00D52DFB">
        <w:rPr>
          <w:rFonts w:hint="cs"/>
          <w:rtl/>
        </w:rPr>
        <w:t xml:space="preserve">, </w:t>
      </w:r>
      <w:r w:rsidR="0063209F">
        <w:rPr>
          <w:rFonts w:hint="cs"/>
          <w:rtl/>
        </w:rPr>
        <w:t>כתנאי מוקדם להצהרת האמונים כחבר כנסת ולקבלת זכויותיו ככזה</w:t>
      </w:r>
      <w:r w:rsidRPr="002D6439">
        <w:rPr>
          <w:rFonts w:hint="cs"/>
          <w:rtl/>
        </w:rPr>
        <w:t>.</w:t>
      </w:r>
    </w:p>
    <w:p w14:paraId="342B535F" w14:textId="096595AD" w:rsidR="00193791" w:rsidRPr="002D6439" w:rsidRDefault="00296E05" w:rsidP="006271CC">
      <w:pPr>
        <w:pStyle w:val="Hesber"/>
        <w:rPr>
          <w:rtl/>
        </w:rPr>
      </w:pPr>
      <w:r>
        <w:rPr>
          <w:rFonts w:hint="cs"/>
          <w:rtl/>
        </w:rPr>
        <w:t>מוצע</w:t>
      </w:r>
      <w:r w:rsidR="00193791" w:rsidRPr="002D6439">
        <w:rPr>
          <w:rFonts w:hint="cs"/>
          <w:rtl/>
        </w:rPr>
        <w:t xml:space="preserve"> לבטל מגבלה זו, </w:t>
      </w:r>
      <w:r w:rsidR="006271CC">
        <w:rPr>
          <w:rFonts w:hint="cs"/>
          <w:rtl/>
        </w:rPr>
        <w:t>ש</w:t>
      </w:r>
      <w:r w:rsidR="00193791" w:rsidRPr="002D6439">
        <w:rPr>
          <w:rFonts w:hint="cs"/>
          <w:rtl/>
        </w:rPr>
        <w:t>אין בה כל צורך</w:t>
      </w:r>
      <w:r w:rsidR="0063209F">
        <w:rPr>
          <w:rFonts w:hint="cs"/>
          <w:rtl/>
        </w:rPr>
        <w:t>, ואשר</w:t>
      </w:r>
      <w:r w:rsidR="00193791" w:rsidRPr="002D6439">
        <w:rPr>
          <w:rFonts w:hint="cs"/>
          <w:rtl/>
        </w:rPr>
        <w:t xml:space="preserve"> לא מצדיקה פגיעה בזכותו של אדם להחזיק במספר אזרחויות וכן בזכותו להיבחר לכהונה כחבר כנסת.</w:t>
      </w:r>
    </w:p>
    <w:p w14:paraId="7D2A40A5" w14:textId="739A3BB1" w:rsidR="00193791" w:rsidRPr="002D6439" w:rsidRDefault="0063209F" w:rsidP="006271CC">
      <w:pPr>
        <w:pStyle w:val="Hesber"/>
        <w:rPr>
          <w:rtl/>
        </w:rPr>
      </w:pPr>
      <w:r>
        <w:rPr>
          <w:rFonts w:hint="cs"/>
          <w:rtl/>
        </w:rPr>
        <w:t>מעבר ל</w:t>
      </w:r>
      <w:r w:rsidR="00193791" w:rsidRPr="002D6439">
        <w:rPr>
          <w:rFonts w:hint="cs"/>
          <w:rtl/>
        </w:rPr>
        <w:t xml:space="preserve">כך, ברחבי העולם קיימות מדינות המאפשרות לאדם לוותר על אזרחותו, אך </w:t>
      </w:r>
      <w:r w:rsidR="006271CC">
        <w:rPr>
          <w:rFonts w:hint="cs"/>
          <w:rtl/>
        </w:rPr>
        <w:t xml:space="preserve">אם </w:t>
      </w:r>
      <w:r w:rsidR="00193791" w:rsidRPr="002D6439">
        <w:rPr>
          <w:rFonts w:hint="cs"/>
          <w:rtl/>
        </w:rPr>
        <w:t>יעשה כן הוא יהיה חשוף לפגיעה בזכויות אחרות באותה המדינה, כמו זכות הקניין וזכויות עתידיות לרבות כאלה העתידות להיות מועברות לידיו בירושה.</w:t>
      </w:r>
    </w:p>
    <w:p w14:paraId="58FEF1AD" w14:textId="77777777" w:rsidR="00193791" w:rsidRPr="002D6439" w:rsidRDefault="00193791" w:rsidP="002D6439">
      <w:pPr>
        <w:pStyle w:val="Hesber"/>
        <w:rPr>
          <w:rtl/>
        </w:rPr>
      </w:pPr>
      <w:r w:rsidRPr="002D6439">
        <w:rPr>
          <w:rFonts w:hint="cs"/>
          <w:rtl/>
        </w:rPr>
        <w:t>כמו כן, במדינת ישראל, מדינה הקולטת עליה, קיימים אזרחים רבים המחזיקים באזרחות נוספת. המגבלה הקבועה כיום בחוק, מונעת מהם הלכה למעשה מלהתמודד בבחירות לכנסת.</w:t>
      </w:r>
    </w:p>
    <w:p w14:paraId="7F6961CB" w14:textId="77777777" w:rsidR="00E13C27" w:rsidRDefault="00E13C27" w:rsidP="002D6439">
      <w:pPr>
        <w:pStyle w:val="Hesber"/>
        <w:rPr>
          <w:rtl/>
        </w:rPr>
      </w:pPr>
    </w:p>
    <w:p w14:paraId="4C093303" w14:textId="77777777" w:rsidR="006271CC" w:rsidRPr="00D73212" w:rsidRDefault="006271CC" w:rsidP="006271CC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17F6DDF9" w14:textId="77777777" w:rsidR="006271CC" w:rsidRPr="00D73212" w:rsidRDefault="006271CC" w:rsidP="006271CC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74AE51CD" w14:textId="77777777" w:rsidR="006271CC" w:rsidRPr="00D73212" w:rsidRDefault="006271CC" w:rsidP="006271CC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5E851617" w14:textId="77777777" w:rsidR="006271CC" w:rsidRPr="00317312" w:rsidRDefault="006271CC" w:rsidP="006271CC">
      <w:pPr>
        <w:pStyle w:val="Hesber"/>
      </w:pPr>
      <w:r>
        <w:rPr>
          <w:rFonts w:hint="cs"/>
          <w:color w:val="auto"/>
          <w:rtl/>
          <w:lang w:eastAsia="en-US"/>
        </w:rPr>
        <w:t>ט"ז בכסלו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4.12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</w:p>
    <w:p w14:paraId="7EF0DEDF" w14:textId="77777777" w:rsidR="006271CC" w:rsidRPr="002D6439" w:rsidRDefault="006271CC" w:rsidP="002D6439">
      <w:pPr>
        <w:pStyle w:val="Hesber"/>
        <w:rPr>
          <w:rtl/>
        </w:rPr>
      </w:pPr>
    </w:p>
    <w:sectPr w:rsidR="006271CC" w:rsidRPr="002D6439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43FBDF8A" w14:textId="77777777" w:rsidR="004C0945" w:rsidRDefault="004C0945" w:rsidP="004C0945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התשי"ח, עמ' 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31AD"/>
    <w:multiLevelType w:val="hybridMultilevel"/>
    <w:tmpl w:val="365AA93C"/>
    <w:lvl w:ilvl="0" w:tplc="9966896A">
      <w:start w:val="1"/>
      <w:numFmt w:val="decimal"/>
      <w:lvlText w:val="%1."/>
      <w:lvlJc w:val="left"/>
      <w:pPr>
        <w:ind w:left="501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37AE3"/>
    <w:rsid w:val="00063A3E"/>
    <w:rsid w:val="00072CAC"/>
    <w:rsid w:val="0007681A"/>
    <w:rsid w:val="000A542E"/>
    <w:rsid w:val="000A56FE"/>
    <w:rsid w:val="000D0FC3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93791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96E05"/>
    <w:rsid w:val="002A487D"/>
    <w:rsid w:val="002C2E29"/>
    <w:rsid w:val="002C3041"/>
    <w:rsid w:val="002D1EE3"/>
    <w:rsid w:val="002D6439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C0945"/>
    <w:rsid w:val="004D2D82"/>
    <w:rsid w:val="004D3876"/>
    <w:rsid w:val="004E4552"/>
    <w:rsid w:val="004E6CDF"/>
    <w:rsid w:val="00507CD0"/>
    <w:rsid w:val="00553C9D"/>
    <w:rsid w:val="00562A66"/>
    <w:rsid w:val="005B064E"/>
    <w:rsid w:val="005D238B"/>
    <w:rsid w:val="005D51AE"/>
    <w:rsid w:val="0062674B"/>
    <w:rsid w:val="006271CC"/>
    <w:rsid w:val="0063209F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0C2E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B571F"/>
    <w:rsid w:val="00BC45FB"/>
    <w:rsid w:val="00BF148D"/>
    <w:rsid w:val="00C23B1A"/>
    <w:rsid w:val="00C310EB"/>
    <w:rsid w:val="00C9176A"/>
    <w:rsid w:val="00CF1AA2"/>
    <w:rsid w:val="00D17774"/>
    <w:rsid w:val="00D52DFB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85917"/>
    <w:rsid w:val="00E86836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341732-62F8-47AD-B33B-6BF4C8DE0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8F2D0D-B288-4E95-840D-532AC68C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17</cp:revision>
  <cp:lastPrinted>2017-12-03T13:07:00Z</cp:lastPrinted>
  <dcterms:created xsi:type="dcterms:W3CDTF">2015-04-20T09:58:00Z</dcterms:created>
  <dcterms:modified xsi:type="dcterms:W3CDTF">2017-12-03T13:07:00Z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2023603</vt:r8>
  </property>
</Properties>
</file>