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2023304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רויטל סויד</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פ/4783/20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2B8CD262" w:rsidR="00E13C27" w:rsidRPr="00F67051" w:rsidRDefault="00A443CF" w:rsidP="004E1DF2">
      <w:pPr>
        <w:pStyle w:val="HeadHatzaotHok"/>
        <w:rPr>
          <w:rtl/>
        </w:rPr>
      </w:pPr>
      <w:bookmarkStart w:id="7" w:name="LGS_Subject"/>
      <w:r>
        <w:rPr>
          <w:rFonts w:hint="cs"/>
          <w:rtl/>
        </w:rPr>
        <w:t xml:space="preserve">הצעת חוק משפחות חיילים שנספו במערכה (תגמולים ושיקום) (תיקון </w:t>
      </w:r>
      <w:r w:rsidR="004E1DF2">
        <w:rPr>
          <w:rFonts w:hint="eastAsia"/>
          <w:rtl/>
        </w:rPr>
        <w:t>–</w:t>
      </w:r>
      <w:r>
        <w:rPr>
          <w:rFonts w:hint="cs"/>
          <w:rtl/>
        </w:rPr>
        <w:t xml:space="preserve"> הגדרת אלמן ושכול), התשע"ח</w:t>
      </w:r>
      <w:r w:rsidR="004E1DF2">
        <w:rPr>
          <w:rFonts w:hint="eastAsia"/>
          <w:rtl/>
        </w:rPr>
        <w:t>–</w:t>
      </w:r>
      <w:r>
        <w:rPr>
          <w:rFonts w:hint="cs"/>
          <w:rtl/>
        </w:rPr>
        <w:t>2017</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93042D" w14:paraId="0F296E83" w14:textId="77777777" w:rsidTr="0093042D">
        <w:trPr>
          <w:cantSplit/>
        </w:trPr>
        <w:tc>
          <w:tcPr>
            <w:tcW w:w="1871" w:type="dxa"/>
          </w:tcPr>
          <w:p w14:paraId="1BDC9C10" w14:textId="77777777" w:rsidR="0093042D" w:rsidRDefault="0093042D" w:rsidP="00D137F4">
            <w:pPr>
              <w:pStyle w:val="TableSideHeading"/>
              <w:keepLines w:val="0"/>
            </w:pPr>
            <w:r w:rsidRPr="00EB1854">
              <w:rPr>
                <w:rtl/>
              </w:rPr>
              <w:t>תיקון סעיף 1</w:t>
            </w:r>
          </w:p>
        </w:tc>
        <w:tc>
          <w:tcPr>
            <w:tcW w:w="624" w:type="dxa"/>
          </w:tcPr>
          <w:p w14:paraId="795BD578" w14:textId="77777777" w:rsidR="0093042D" w:rsidRDefault="0093042D" w:rsidP="00D137F4">
            <w:pPr>
              <w:pStyle w:val="TableText"/>
              <w:keepLines w:val="0"/>
            </w:pPr>
            <w:r>
              <w:rPr>
                <w:rtl/>
              </w:rPr>
              <w:t>1.</w:t>
            </w:r>
          </w:p>
        </w:tc>
        <w:tc>
          <w:tcPr>
            <w:tcW w:w="7146" w:type="dxa"/>
            <w:gridSpan w:val="2"/>
          </w:tcPr>
          <w:p w14:paraId="53195D9F" w14:textId="77777777" w:rsidR="0093042D" w:rsidRPr="00C34DE2" w:rsidRDefault="0093042D" w:rsidP="00D137F4">
            <w:pPr>
              <w:pStyle w:val="TableBlock"/>
            </w:pPr>
            <w:r w:rsidRPr="00EB1854">
              <w:rPr>
                <w:rtl/>
              </w:rPr>
              <w:t xml:space="preserve">בחוק משפחות חיילים שנספו במערכה (תגמולים ושיקום), </w:t>
            </w:r>
            <w:r>
              <w:rPr>
                <w:rtl/>
              </w:rPr>
              <w:t>ה</w:t>
            </w:r>
            <w:r w:rsidRPr="00EB1854">
              <w:rPr>
                <w:rtl/>
              </w:rPr>
              <w:t>תש"י</w:t>
            </w:r>
            <w:r>
              <w:rPr>
                <w:rtl/>
              </w:rPr>
              <w:t>–</w:t>
            </w:r>
            <w:r w:rsidRPr="00EB1854">
              <w:rPr>
                <w:rtl/>
              </w:rPr>
              <w:t>1950</w:t>
            </w:r>
            <w:r>
              <w:rPr>
                <w:rStyle w:val="a6"/>
                <w:rtl/>
              </w:rPr>
              <w:footnoteReference w:id="2"/>
            </w:r>
            <w:r w:rsidRPr="00EB1854">
              <w:rPr>
                <w:rtl/>
              </w:rPr>
              <w:t xml:space="preserve"> (להלן </w:t>
            </w:r>
            <w:r>
              <w:rPr>
                <w:rtl/>
              </w:rPr>
              <w:t xml:space="preserve">– </w:t>
            </w:r>
            <w:r w:rsidRPr="00EB1854">
              <w:rPr>
                <w:rtl/>
              </w:rPr>
              <w:t>החוק העיקרי)</w:t>
            </w:r>
            <w:r>
              <w:rPr>
                <w:rtl/>
              </w:rPr>
              <w:t>, בסעיף 1, בהגדרה "בן משפחה" –</w:t>
            </w:r>
          </w:p>
        </w:tc>
      </w:tr>
      <w:tr w:rsidR="0093042D" w14:paraId="744B3C92" w14:textId="77777777" w:rsidTr="0093042D">
        <w:trPr>
          <w:cantSplit/>
        </w:trPr>
        <w:tc>
          <w:tcPr>
            <w:tcW w:w="1871" w:type="dxa"/>
          </w:tcPr>
          <w:p w14:paraId="43815196" w14:textId="77777777" w:rsidR="0093042D" w:rsidRDefault="0093042D" w:rsidP="00D137F4">
            <w:pPr>
              <w:pStyle w:val="TableSideHeading"/>
              <w:keepLines w:val="0"/>
              <w:rPr>
                <w:rtl/>
              </w:rPr>
            </w:pPr>
          </w:p>
        </w:tc>
        <w:tc>
          <w:tcPr>
            <w:tcW w:w="624" w:type="dxa"/>
          </w:tcPr>
          <w:p w14:paraId="5323B198" w14:textId="77777777" w:rsidR="0093042D" w:rsidRDefault="0093042D" w:rsidP="00D137F4">
            <w:pPr>
              <w:pStyle w:val="TableText"/>
              <w:rPr>
                <w:rtl/>
              </w:rPr>
            </w:pPr>
          </w:p>
        </w:tc>
        <w:tc>
          <w:tcPr>
            <w:tcW w:w="7146" w:type="dxa"/>
            <w:gridSpan w:val="2"/>
          </w:tcPr>
          <w:p w14:paraId="1B6106B6" w14:textId="77777777" w:rsidR="0093042D" w:rsidRDefault="0093042D" w:rsidP="00D137F4">
            <w:pPr>
              <w:pStyle w:val="TableBlock"/>
              <w:rPr>
                <w:rtl/>
              </w:rPr>
            </w:pPr>
            <w:r>
              <w:rPr>
                <w:rtl/>
              </w:rPr>
              <w:t xml:space="preserve">(1) </w:t>
            </w:r>
            <w:r>
              <w:rPr>
                <w:rtl/>
              </w:rPr>
              <w:tab/>
              <w:t>במקום פסקה (א) יבוא:</w:t>
            </w:r>
          </w:p>
        </w:tc>
      </w:tr>
      <w:tr w:rsidR="0093042D" w14:paraId="6FC50AEE" w14:textId="77777777" w:rsidTr="0093042D">
        <w:trPr>
          <w:cantSplit/>
        </w:trPr>
        <w:tc>
          <w:tcPr>
            <w:tcW w:w="1871" w:type="dxa"/>
          </w:tcPr>
          <w:p w14:paraId="055F9FAF" w14:textId="77777777" w:rsidR="0093042D" w:rsidRDefault="0093042D" w:rsidP="00D137F4">
            <w:pPr>
              <w:pStyle w:val="TableSideHeading"/>
            </w:pPr>
          </w:p>
        </w:tc>
        <w:tc>
          <w:tcPr>
            <w:tcW w:w="624" w:type="dxa"/>
          </w:tcPr>
          <w:p w14:paraId="407DACC1" w14:textId="77777777" w:rsidR="0093042D" w:rsidRDefault="0093042D" w:rsidP="00D137F4">
            <w:pPr>
              <w:pStyle w:val="TableText"/>
            </w:pPr>
          </w:p>
        </w:tc>
        <w:tc>
          <w:tcPr>
            <w:tcW w:w="624" w:type="dxa"/>
          </w:tcPr>
          <w:p w14:paraId="30593A16" w14:textId="77777777" w:rsidR="0093042D" w:rsidRDefault="0093042D" w:rsidP="00D137F4">
            <w:pPr>
              <w:pStyle w:val="TableText"/>
            </w:pPr>
          </w:p>
        </w:tc>
        <w:tc>
          <w:tcPr>
            <w:tcW w:w="6522" w:type="dxa"/>
          </w:tcPr>
          <w:p w14:paraId="6A162CE4" w14:textId="77777777" w:rsidR="0093042D" w:rsidRDefault="0093042D" w:rsidP="00D137F4">
            <w:pPr>
              <w:pStyle w:val="TableBlock"/>
            </w:pPr>
            <w:r>
              <w:rPr>
                <w:rtl/>
              </w:rPr>
              <w:t>"(א)</w:t>
            </w:r>
            <w:r>
              <w:rPr>
                <w:rtl/>
              </w:rPr>
              <w:tab/>
              <w:t>מי שהיה בן זוג של הנספה ביום מותו, ובכלל זה בן זוג שלפני מות הנספה גר יחד עמו וביום מותו היה ידוע בציבור כבן זוג – אף אם נישא לאחר (להלן – אלמנה, או אלמן, לפי העניין);";</w:t>
            </w:r>
          </w:p>
        </w:tc>
      </w:tr>
      <w:tr w:rsidR="0093042D" w14:paraId="10AB329F" w14:textId="77777777" w:rsidTr="0093042D">
        <w:trPr>
          <w:cantSplit/>
        </w:trPr>
        <w:tc>
          <w:tcPr>
            <w:tcW w:w="1871" w:type="dxa"/>
          </w:tcPr>
          <w:p w14:paraId="75414013" w14:textId="77777777" w:rsidR="0093042D" w:rsidRDefault="0093042D" w:rsidP="00D137F4">
            <w:pPr>
              <w:pStyle w:val="TableSideHeading"/>
              <w:ind w:right="0"/>
              <w:rPr>
                <w:rtl/>
              </w:rPr>
            </w:pPr>
          </w:p>
        </w:tc>
        <w:tc>
          <w:tcPr>
            <w:tcW w:w="624" w:type="dxa"/>
          </w:tcPr>
          <w:p w14:paraId="6343FD3B" w14:textId="77777777" w:rsidR="0093042D" w:rsidRDefault="0093042D" w:rsidP="00D137F4">
            <w:pPr>
              <w:pStyle w:val="TableText"/>
              <w:ind w:right="0"/>
              <w:jc w:val="both"/>
            </w:pPr>
          </w:p>
        </w:tc>
        <w:tc>
          <w:tcPr>
            <w:tcW w:w="7146" w:type="dxa"/>
            <w:gridSpan w:val="2"/>
          </w:tcPr>
          <w:p w14:paraId="4256A2AA" w14:textId="77777777" w:rsidR="0093042D" w:rsidRDefault="0093042D" w:rsidP="00D137F4">
            <w:pPr>
              <w:pStyle w:val="TableBlock"/>
              <w:rPr>
                <w:rtl/>
              </w:rPr>
            </w:pPr>
            <w:r>
              <w:rPr>
                <w:rtl/>
              </w:rPr>
              <w:t>(2)</w:t>
            </w:r>
            <w:r>
              <w:rPr>
                <w:rtl/>
              </w:rPr>
              <w:tab/>
              <w:t xml:space="preserve">פסקה </w:t>
            </w:r>
            <w:r w:rsidRPr="00EB1854">
              <w:rPr>
                <w:rtl/>
              </w:rPr>
              <w:t xml:space="preserve">(א1) – </w:t>
            </w:r>
            <w:r>
              <w:rPr>
                <w:rtl/>
              </w:rPr>
              <w:t>תימחק;</w:t>
            </w:r>
          </w:p>
        </w:tc>
      </w:tr>
      <w:tr w:rsidR="0093042D" w14:paraId="2F257555" w14:textId="77777777" w:rsidTr="0093042D">
        <w:trPr>
          <w:cantSplit/>
        </w:trPr>
        <w:tc>
          <w:tcPr>
            <w:tcW w:w="1871" w:type="dxa"/>
          </w:tcPr>
          <w:p w14:paraId="12C1AF98" w14:textId="77777777" w:rsidR="0093042D" w:rsidRDefault="0093042D" w:rsidP="00D137F4">
            <w:pPr>
              <w:pStyle w:val="TableSideHeading"/>
              <w:ind w:right="0"/>
              <w:rPr>
                <w:rtl/>
              </w:rPr>
            </w:pPr>
          </w:p>
        </w:tc>
        <w:tc>
          <w:tcPr>
            <w:tcW w:w="624" w:type="dxa"/>
          </w:tcPr>
          <w:p w14:paraId="2B7A05AE" w14:textId="77777777" w:rsidR="0093042D" w:rsidRDefault="0093042D" w:rsidP="00D137F4">
            <w:pPr>
              <w:pStyle w:val="TableText"/>
              <w:ind w:right="0"/>
              <w:jc w:val="both"/>
            </w:pPr>
          </w:p>
        </w:tc>
        <w:tc>
          <w:tcPr>
            <w:tcW w:w="7146" w:type="dxa"/>
            <w:gridSpan w:val="2"/>
          </w:tcPr>
          <w:p w14:paraId="0338A52E" w14:textId="77777777" w:rsidR="0093042D" w:rsidRPr="00EB1854" w:rsidRDefault="0093042D" w:rsidP="00D137F4">
            <w:pPr>
              <w:pStyle w:val="TableBlock"/>
              <w:rPr>
                <w:rtl/>
              </w:rPr>
            </w:pPr>
            <w:r>
              <w:rPr>
                <w:rtl/>
              </w:rPr>
              <w:t>(3)</w:t>
            </w:r>
            <w:r>
              <w:rPr>
                <w:rtl/>
              </w:rPr>
              <w:tab/>
              <w:t xml:space="preserve">במקום פסקה </w:t>
            </w:r>
            <w:r w:rsidRPr="00EB1854">
              <w:rPr>
                <w:rtl/>
              </w:rPr>
              <w:t>(ג)</w:t>
            </w:r>
            <w:r>
              <w:rPr>
                <w:rtl/>
              </w:rPr>
              <w:t xml:space="preserve"> יבוא:</w:t>
            </w:r>
          </w:p>
        </w:tc>
      </w:tr>
      <w:tr w:rsidR="0093042D" w14:paraId="0524227D" w14:textId="77777777" w:rsidTr="0093042D">
        <w:trPr>
          <w:cantSplit/>
        </w:trPr>
        <w:tc>
          <w:tcPr>
            <w:tcW w:w="1871" w:type="dxa"/>
          </w:tcPr>
          <w:p w14:paraId="4B130A62" w14:textId="77777777" w:rsidR="0093042D" w:rsidRDefault="0093042D" w:rsidP="00D137F4">
            <w:pPr>
              <w:pStyle w:val="TableSideHeading"/>
              <w:rPr>
                <w:rtl/>
              </w:rPr>
            </w:pPr>
          </w:p>
        </w:tc>
        <w:tc>
          <w:tcPr>
            <w:tcW w:w="624" w:type="dxa"/>
          </w:tcPr>
          <w:p w14:paraId="34822D8A" w14:textId="77777777" w:rsidR="0093042D" w:rsidRDefault="0093042D" w:rsidP="00D137F4">
            <w:pPr>
              <w:pStyle w:val="TableText"/>
            </w:pPr>
          </w:p>
        </w:tc>
        <w:tc>
          <w:tcPr>
            <w:tcW w:w="624" w:type="dxa"/>
          </w:tcPr>
          <w:p w14:paraId="0119DC1B" w14:textId="77777777" w:rsidR="0093042D" w:rsidRDefault="0093042D" w:rsidP="00D137F4">
            <w:pPr>
              <w:pStyle w:val="TableText"/>
              <w:rPr>
                <w:rtl/>
              </w:rPr>
            </w:pPr>
          </w:p>
        </w:tc>
        <w:tc>
          <w:tcPr>
            <w:tcW w:w="6522" w:type="dxa"/>
          </w:tcPr>
          <w:p w14:paraId="581DAA89" w14:textId="77777777" w:rsidR="0093042D" w:rsidRDefault="0093042D" w:rsidP="00D137F4">
            <w:pPr>
              <w:pStyle w:val="TableBlock"/>
              <w:rPr>
                <w:rtl/>
              </w:rPr>
            </w:pPr>
            <w:r w:rsidRPr="00EB1854">
              <w:rPr>
                <w:rtl/>
              </w:rPr>
              <w:t>"</w:t>
            </w:r>
            <w:r>
              <w:rPr>
                <w:rtl/>
              </w:rPr>
              <w:t>(ג)</w:t>
            </w:r>
            <w:r>
              <w:rPr>
                <w:rtl/>
              </w:rPr>
              <w:tab/>
            </w:r>
            <w:r w:rsidRPr="00EB1854">
              <w:rPr>
                <w:rtl/>
              </w:rPr>
              <w:t>הור</w:t>
            </w:r>
            <w:r>
              <w:rPr>
                <w:rtl/>
              </w:rPr>
              <w:t>ה</w:t>
            </w:r>
            <w:r w:rsidRPr="00EB1854">
              <w:rPr>
                <w:rtl/>
              </w:rPr>
              <w:t xml:space="preserve"> של הנספה </w:t>
            </w:r>
            <w:r>
              <w:rPr>
                <w:rtl/>
              </w:rPr>
              <w:t xml:space="preserve">ששמו </w:t>
            </w:r>
            <w:r w:rsidRPr="00EB1854">
              <w:rPr>
                <w:rtl/>
              </w:rPr>
              <w:t>רשום במרשם האוכלוסין לפי חוק מרשם האוכלוסין</w:t>
            </w:r>
            <w:r>
              <w:rPr>
                <w:rtl/>
              </w:rPr>
              <w:t>,</w:t>
            </w:r>
            <w:r w:rsidRPr="00EB1854">
              <w:rPr>
                <w:rtl/>
              </w:rPr>
              <w:t xml:space="preserve"> </w:t>
            </w:r>
            <w:r>
              <w:rPr>
                <w:rtl/>
              </w:rPr>
              <w:t>ה</w:t>
            </w:r>
            <w:r w:rsidRPr="00EB1854">
              <w:rPr>
                <w:rtl/>
              </w:rPr>
              <w:t>תשכ"ה</w:t>
            </w:r>
            <w:r>
              <w:rPr>
                <w:rtl/>
              </w:rPr>
              <w:t>–</w:t>
            </w:r>
            <w:r w:rsidRPr="00EB1854">
              <w:rPr>
                <w:rtl/>
              </w:rPr>
              <w:t>1965</w:t>
            </w:r>
            <w:r>
              <w:rPr>
                <w:rStyle w:val="a6"/>
                <w:rtl/>
              </w:rPr>
              <w:footnoteReference w:id="3"/>
            </w:r>
            <w:r>
              <w:rPr>
                <w:rtl/>
              </w:rPr>
              <w:t>,</w:t>
            </w:r>
            <w:r w:rsidRPr="00EB1854">
              <w:rPr>
                <w:rtl/>
              </w:rPr>
              <w:t xml:space="preserve"> </w:t>
            </w:r>
            <w:r>
              <w:rPr>
                <w:rtl/>
              </w:rPr>
              <w:t>וכן אדם שאמן את הנספה בהיותו קטין חמש שנים לפחות שלא על מנת לקבל פרס</w:t>
            </w:r>
            <w:r w:rsidRPr="00EB1854">
              <w:rPr>
                <w:rtl/>
              </w:rPr>
              <w:t xml:space="preserve"> (להלן </w:t>
            </w:r>
            <w:r>
              <w:rPr>
                <w:rtl/>
              </w:rPr>
              <w:t>–</w:t>
            </w:r>
            <w:r w:rsidRPr="00EB1854">
              <w:rPr>
                <w:rtl/>
              </w:rPr>
              <w:t xml:space="preserve"> שכול)</w:t>
            </w:r>
            <w:r>
              <w:rPr>
                <w:rtl/>
              </w:rPr>
              <w:t>;</w:t>
            </w:r>
            <w:r w:rsidRPr="00EB1854">
              <w:rPr>
                <w:rtl/>
              </w:rPr>
              <w:t>"</w:t>
            </w:r>
            <w:r>
              <w:rPr>
                <w:rtl/>
              </w:rPr>
              <w:t>.</w:t>
            </w:r>
          </w:p>
        </w:tc>
      </w:tr>
      <w:tr w:rsidR="0093042D" w14:paraId="53D8758B" w14:textId="77777777" w:rsidTr="0093042D">
        <w:trPr>
          <w:cantSplit/>
        </w:trPr>
        <w:tc>
          <w:tcPr>
            <w:tcW w:w="1871" w:type="dxa"/>
          </w:tcPr>
          <w:p w14:paraId="564BD6BF" w14:textId="77777777" w:rsidR="0093042D" w:rsidRPr="00EB1854" w:rsidRDefault="0093042D" w:rsidP="00D137F4">
            <w:pPr>
              <w:pStyle w:val="TableSideHeading"/>
              <w:keepLines w:val="0"/>
              <w:rPr>
                <w:rtl/>
              </w:rPr>
            </w:pPr>
            <w:r>
              <w:rPr>
                <w:rtl/>
              </w:rPr>
              <w:t>תיקון סעיף 1א</w:t>
            </w:r>
          </w:p>
        </w:tc>
        <w:tc>
          <w:tcPr>
            <w:tcW w:w="624" w:type="dxa"/>
          </w:tcPr>
          <w:p w14:paraId="367A4636" w14:textId="77777777" w:rsidR="0093042D" w:rsidRDefault="0093042D" w:rsidP="00D137F4">
            <w:pPr>
              <w:pStyle w:val="TableText"/>
              <w:keepLines w:val="0"/>
            </w:pPr>
            <w:r>
              <w:rPr>
                <w:rtl/>
              </w:rPr>
              <w:t>2.</w:t>
            </w:r>
          </w:p>
        </w:tc>
        <w:tc>
          <w:tcPr>
            <w:tcW w:w="7146" w:type="dxa"/>
            <w:gridSpan w:val="2"/>
          </w:tcPr>
          <w:p w14:paraId="0BE463E1" w14:textId="77777777" w:rsidR="0093042D" w:rsidRPr="00EB1854" w:rsidRDefault="0093042D" w:rsidP="00D137F4">
            <w:pPr>
              <w:pStyle w:val="TableBlock"/>
              <w:rPr>
                <w:rtl/>
              </w:rPr>
            </w:pPr>
            <w:r>
              <w:rPr>
                <w:rtl/>
              </w:rPr>
              <w:t>בסעיף 1א לחוק העיקרי, בסופו יבוא "וכל האמור בסעיפים 13א עד 13ג לגבי אישה או גרושה יחול לגבי איש או גרוש, בתיאומים לפי העניין".</w:t>
            </w:r>
          </w:p>
        </w:tc>
      </w:tr>
    </w:tbl>
    <w:p w14:paraId="7F6961CA" w14:textId="77777777" w:rsidR="002D1EE3" w:rsidRDefault="002D1EE3" w:rsidP="002D1EE3">
      <w:pPr>
        <w:pStyle w:val="HeadDivreiHesber"/>
        <w:rPr>
          <w:rtl/>
        </w:rPr>
      </w:pPr>
      <w:r w:rsidRPr="0027450A">
        <w:rPr>
          <w:rFonts w:hint="cs"/>
          <w:rtl/>
        </w:rPr>
        <w:t>דברי הסבר</w:t>
      </w:r>
    </w:p>
    <w:p w14:paraId="57C203D4" w14:textId="77777777" w:rsidR="0093042D" w:rsidRPr="00EB1854" w:rsidRDefault="0093042D" w:rsidP="0093042D">
      <w:pPr>
        <w:pStyle w:val="Hesber"/>
        <w:rPr>
          <w:rtl/>
        </w:rPr>
      </w:pPr>
      <w:r w:rsidRPr="00EB1854">
        <w:rPr>
          <w:rtl/>
        </w:rPr>
        <w:t xml:space="preserve">כיום חוק משפחות חיילים שנספו במערכה (תגמולים ושיקום), </w:t>
      </w:r>
      <w:r>
        <w:rPr>
          <w:rtl/>
        </w:rPr>
        <w:t>ה</w:t>
      </w:r>
      <w:r w:rsidRPr="00EB1854">
        <w:rPr>
          <w:rtl/>
        </w:rPr>
        <w:t>תש"י</w:t>
      </w:r>
      <w:r>
        <w:rPr>
          <w:rtl/>
        </w:rPr>
        <w:t>–</w:t>
      </w:r>
      <w:r w:rsidRPr="00EB1854">
        <w:rPr>
          <w:rtl/>
        </w:rPr>
        <w:t xml:space="preserve">1950, אינו מכיר במצב של בני זוג מאותו המין ואינו מביא בחשבון תרחיש בו עלולה משפחה חד-מינית, או זוג הורים חד-מיניים, לשכול את ילדם. כמו כן לא מוסדר בחוק מצב של בן זוג חד מיני אשר יוכר כאלמן אלא החוק הקיים מגדיר בברור שאלמן הוא מי שאיבד את אשתו ואלמנה היא מי שאיבדה את בעלה. </w:t>
      </w:r>
    </w:p>
    <w:p w14:paraId="4919CD75" w14:textId="77777777" w:rsidR="0093042D" w:rsidRDefault="0093042D" w:rsidP="0093042D">
      <w:pPr>
        <w:pStyle w:val="Hesber"/>
        <w:rPr>
          <w:rtl/>
        </w:rPr>
      </w:pPr>
      <w:r w:rsidRPr="00EB1854">
        <w:rPr>
          <w:rtl/>
        </w:rPr>
        <w:lastRenderedPageBreak/>
        <w:t xml:space="preserve">הצעת החוק מסדירה את שתי הסוגיות </w:t>
      </w:r>
      <w:r>
        <w:rPr>
          <w:rtl/>
        </w:rPr>
        <w:t>הללו</w:t>
      </w:r>
      <w:r w:rsidRPr="00EB1854">
        <w:rPr>
          <w:rtl/>
        </w:rPr>
        <w:t xml:space="preserve"> </w:t>
      </w:r>
      <w:r>
        <w:rPr>
          <w:rtl/>
        </w:rPr>
        <w:t xml:space="preserve">ומאפשרת </w:t>
      </w:r>
      <w:r w:rsidRPr="00EB1854">
        <w:rPr>
          <w:rtl/>
        </w:rPr>
        <w:t>לזוגות חד-מיניים להיות</w:t>
      </w:r>
      <w:r>
        <w:rPr>
          <w:rtl/>
        </w:rPr>
        <w:t xml:space="preserve"> מוכרים בשעת אסון כשכולים וזאת </w:t>
      </w:r>
      <w:r w:rsidRPr="00EB1854">
        <w:rPr>
          <w:rtl/>
        </w:rPr>
        <w:t xml:space="preserve">בלי להידרש להגשת בקשות מיוחדות או פנייה לערכאות משפטיות. </w:t>
      </w:r>
    </w:p>
    <w:p w14:paraId="7DEBDB7D" w14:textId="77777777" w:rsidR="0093042D" w:rsidRDefault="0093042D" w:rsidP="0093042D">
      <w:pPr>
        <w:pStyle w:val="Hesber"/>
        <w:rPr>
          <w:rtl/>
        </w:rPr>
      </w:pPr>
      <w:r>
        <w:rPr>
          <w:rtl/>
        </w:rPr>
        <w:t>בנוסף, הצעת החוק נותנת מעמד שכול להורה ששמו רשום במרשם האוכלוסין, וכן לאדם שאמן את הנספה בהיותו, קטין חמש שנים לפחות, שלא על מנת לקבל פרס.</w:t>
      </w:r>
    </w:p>
    <w:p w14:paraId="02EAB9CF" w14:textId="0BEE8591" w:rsidR="00BF167E" w:rsidRPr="00BF167E" w:rsidRDefault="0093042D" w:rsidP="00BF167E">
      <w:pPr>
        <w:pStyle w:val="Hesber"/>
        <w:rPr>
          <w:rtl/>
        </w:rPr>
      </w:pPr>
      <w:r>
        <w:rPr>
          <w:rtl/>
        </w:rPr>
        <w:t>הצעות חוק זהות הונחו על שולחן הכנסת התשע-עשרה על ידי חבר הכנסת אבישי ברוורמן וקבוצת חברי הכנסת (</w:t>
      </w:r>
      <w:r w:rsidRPr="004A3547">
        <w:rPr>
          <w:sz w:val="26"/>
          <w:rtl/>
        </w:rPr>
        <w:t>פ/</w:t>
      </w:r>
      <w:r>
        <w:rPr>
          <w:sz w:val="26"/>
          <w:rtl/>
        </w:rPr>
        <w:t>1778</w:t>
      </w:r>
      <w:r w:rsidRPr="004A3547">
        <w:rPr>
          <w:sz w:val="26"/>
          <w:rtl/>
        </w:rPr>
        <w:t>/19</w:t>
      </w:r>
      <w:r>
        <w:rPr>
          <w:sz w:val="26"/>
          <w:rtl/>
        </w:rPr>
        <w:t>), ועל שולחן הכנסת העשרים על ידי חברת הכנסת מרב מיכאלי (פ/392/20</w:t>
      </w:r>
      <w:r w:rsidR="00BF167E">
        <w:rPr>
          <w:rFonts w:hint="cs"/>
          <w:rtl/>
        </w:rPr>
        <w:t>; הוסרה מסדר היום ביום ט"ו באדר התשע"ו (24 בפברואר 2016); פ/3387/20) ועל ידי חברת הכנסת רויטל סויד וקבוצת חברי הכנסת (פ/1171/20; הוסרה מסדר היום ביום ט"ו באדר התשע"ו (24 בפברואר 2016)).</w:t>
      </w:r>
    </w:p>
    <w:p w14:paraId="312FD025" w14:textId="2A74A3F0" w:rsidR="0093042D" w:rsidRDefault="0093042D" w:rsidP="00BF167E">
      <w:pPr>
        <w:pStyle w:val="Hesber"/>
        <w:rPr>
          <w:rtl/>
        </w:rPr>
      </w:pPr>
    </w:p>
    <w:p w14:paraId="24AEAE5F" w14:textId="2EC6C2D1" w:rsidR="006A1134" w:rsidRDefault="006A1134" w:rsidP="00BF167E">
      <w:pPr>
        <w:pStyle w:val="Hesber"/>
        <w:rPr>
          <w:rtl/>
        </w:rPr>
      </w:pPr>
    </w:p>
    <w:p w14:paraId="1941827A" w14:textId="77777777" w:rsidR="006A1134" w:rsidRPr="00D73212" w:rsidRDefault="006A1134" w:rsidP="006A1134">
      <w:pPr>
        <w:pStyle w:val="Hesber"/>
        <w:rPr>
          <w:color w:val="auto"/>
          <w:rtl/>
          <w:lang w:eastAsia="en-US"/>
        </w:rPr>
      </w:pPr>
      <w:r w:rsidRPr="00D73212">
        <w:rPr>
          <w:color w:val="auto"/>
          <w:rtl/>
          <w:lang w:eastAsia="en-US"/>
        </w:rPr>
        <w:t>---------------------------------</w:t>
      </w:r>
    </w:p>
    <w:p w14:paraId="0137416A" w14:textId="77777777" w:rsidR="006A1134" w:rsidRPr="00D73212" w:rsidRDefault="006A1134" w:rsidP="006A1134">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3FD530BC" w14:textId="77777777" w:rsidR="006A1134" w:rsidRPr="00D73212" w:rsidRDefault="006A1134" w:rsidP="006A1134">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70BB8319" w14:textId="77777777" w:rsidR="006A1134" w:rsidRPr="00317312" w:rsidRDefault="006A1134" w:rsidP="006A1134">
      <w:pPr>
        <w:pStyle w:val="Hesber"/>
      </w:pPr>
      <w:r>
        <w:rPr>
          <w:rFonts w:hint="cs"/>
          <w:color w:val="auto"/>
          <w:rtl/>
          <w:lang w:eastAsia="en-US"/>
        </w:rPr>
        <w:t>ט' בכסלו</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27.11</w:t>
      </w:r>
      <w:r w:rsidRPr="00D73212">
        <w:rPr>
          <w:color w:val="auto"/>
          <w:rtl/>
          <w:lang w:eastAsia="en-US"/>
        </w:rPr>
        <w:t>.</w:t>
      </w:r>
      <w:r>
        <w:rPr>
          <w:rFonts w:hint="cs"/>
          <w:color w:val="auto"/>
          <w:rtl/>
          <w:lang w:eastAsia="en-US"/>
        </w:rPr>
        <w:t>17</w:t>
      </w:r>
    </w:p>
    <w:p w14:paraId="461BACF3" w14:textId="77777777" w:rsidR="006A1134" w:rsidRDefault="006A1134" w:rsidP="00BF167E">
      <w:pPr>
        <w:pStyle w:val="Hesber"/>
        <w:rPr>
          <w:rtl/>
        </w:rPr>
      </w:pPr>
      <w:bookmarkStart w:id="8" w:name="_GoBack"/>
      <w:bookmarkEnd w:id="8"/>
    </w:p>
    <w:sectPr w:rsidR="006A1134"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6A1134">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3222484A" w14:textId="77777777" w:rsidR="0093042D" w:rsidRDefault="0093042D" w:rsidP="0093042D">
      <w:pPr>
        <w:pStyle w:val="a4"/>
      </w:pPr>
      <w:r>
        <w:rPr>
          <w:rStyle w:val="a6"/>
        </w:rPr>
        <w:footnoteRef/>
      </w:r>
      <w:r>
        <w:rPr>
          <w:rtl/>
        </w:rPr>
        <w:t xml:space="preserve"> ס"ח התש"י, עמ' 162.</w:t>
      </w:r>
    </w:p>
  </w:footnote>
  <w:footnote w:id="3">
    <w:p w14:paraId="683BFCD9" w14:textId="77777777" w:rsidR="0093042D" w:rsidRDefault="0093042D" w:rsidP="0093042D">
      <w:pPr>
        <w:pStyle w:val="a4"/>
      </w:pPr>
      <w:r>
        <w:rPr>
          <w:rStyle w:val="a6"/>
        </w:rPr>
        <w:footnoteRef/>
      </w:r>
      <w:r>
        <w:rPr>
          <w:rtl/>
        </w:rPr>
        <w:t xml:space="preserve"> ס"ח התשכ"ה, עמ' 270.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0257F"/>
    <w:multiLevelType w:val="hybridMultilevel"/>
    <w:tmpl w:val="BDFCE35E"/>
    <w:lvl w:ilvl="0" w:tplc="AA088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1DF2"/>
    <w:rsid w:val="004E4552"/>
    <w:rsid w:val="004E6CDF"/>
    <w:rsid w:val="00553C9D"/>
    <w:rsid w:val="00562A66"/>
    <w:rsid w:val="005B064E"/>
    <w:rsid w:val="005D51AE"/>
    <w:rsid w:val="0062674B"/>
    <w:rsid w:val="006363B2"/>
    <w:rsid w:val="00644940"/>
    <w:rsid w:val="006818A9"/>
    <w:rsid w:val="006A1134"/>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42D"/>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0600A"/>
    <w:rsid w:val="00B10265"/>
    <w:rsid w:val="00B16A99"/>
    <w:rsid w:val="00B21211"/>
    <w:rsid w:val="00B2592A"/>
    <w:rsid w:val="00B35784"/>
    <w:rsid w:val="00B733A7"/>
    <w:rsid w:val="00B75C91"/>
    <w:rsid w:val="00B975AD"/>
    <w:rsid w:val="00BC45FB"/>
    <w:rsid w:val="00BF148D"/>
    <w:rsid w:val="00BF167E"/>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locked/>
    <w:rsid w:val="0093042D"/>
    <w:rPr>
      <w:rFonts w:ascii="Arial" w:eastAsia="Arial Unicode MS" w:hAnsi="Arial" w:cs="David"/>
      <w:snapToGrid w:val="0"/>
      <w:color w:val="000000"/>
      <w:sz w:val="14"/>
      <w:lang w:eastAsia="ja-JP"/>
    </w:rPr>
  </w:style>
  <w:style w:type="character" w:styleId="ae">
    <w:name w:val="annotation reference"/>
    <w:basedOn w:val="a0"/>
    <w:semiHidden/>
    <w:unhideWhenUsed/>
    <w:rsid w:val="004E1DF2"/>
    <w:rPr>
      <w:sz w:val="16"/>
      <w:szCs w:val="16"/>
    </w:rPr>
  </w:style>
  <w:style w:type="paragraph" w:styleId="af">
    <w:name w:val="annotation text"/>
    <w:basedOn w:val="a"/>
    <w:link w:val="af0"/>
    <w:semiHidden/>
    <w:unhideWhenUsed/>
    <w:rsid w:val="004E1DF2"/>
    <w:pPr>
      <w:spacing w:line="240" w:lineRule="auto"/>
    </w:pPr>
    <w:rPr>
      <w:sz w:val="20"/>
      <w:szCs w:val="20"/>
    </w:rPr>
  </w:style>
  <w:style w:type="character" w:customStyle="1" w:styleId="af0">
    <w:name w:val="טקסט הערה תו"/>
    <w:basedOn w:val="a0"/>
    <w:link w:val="af"/>
    <w:semiHidden/>
    <w:rsid w:val="004E1DF2"/>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4E1DF2"/>
    <w:rPr>
      <w:b/>
      <w:bCs/>
    </w:rPr>
  </w:style>
  <w:style w:type="character" w:customStyle="1" w:styleId="af2">
    <w:name w:val="נושא הערה תו"/>
    <w:basedOn w:val="af0"/>
    <w:link w:val="af1"/>
    <w:semiHidden/>
    <w:rsid w:val="004E1DF2"/>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EC595-DA1F-425B-BF80-D24672574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482EFB98-8C80-40FD-A64A-3C9C573D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351</Words>
  <Characters>1755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7</cp:revision>
  <cp:lastPrinted>2017-11-23T08:18:00Z</cp:lastPrinted>
  <dcterms:created xsi:type="dcterms:W3CDTF">2015-04-20T09:58:00Z</dcterms:created>
  <dcterms:modified xsi:type="dcterms:W3CDTF">2017-11-23T09:43:00Z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2023304</vt:r8>
  </property>
</Properties>
</file>