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2023360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אורלי לוי אבקסיס</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פ/4775/20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0A7E1952" w:rsidR="00E13C27" w:rsidRPr="00F67051" w:rsidRDefault="00A443CF" w:rsidP="00720892">
      <w:pPr>
        <w:pStyle w:val="HeadHatzaotHok"/>
        <w:rPr>
          <w:rtl/>
        </w:rPr>
      </w:pPr>
      <w:bookmarkStart w:id="7" w:name="LGS_Subject"/>
      <w:r>
        <w:rPr>
          <w:rFonts w:hint="cs"/>
          <w:rtl/>
        </w:rPr>
        <w:t xml:space="preserve">הצעת חוק העונשין (תיקון – חשיפה מרצון של נפגעות ונפגעי תקיפה מינית), </w:t>
      </w:r>
      <w:bookmarkEnd w:id="7"/>
      <w:r w:rsidR="0085250B">
        <w:rPr>
          <w:rFonts w:hint="cs"/>
          <w:rtl/>
        </w:rPr>
        <w:t>התשע"</w:t>
      </w:r>
      <w:r w:rsidR="00471AEC">
        <w:rPr>
          <w:rFonts w:hint="cs"/>
          <w:rtl/>
        </w:rPr>
        <w:t>ח</w:t>
      </w:r>
      <w:r w:rsidR="00471AEC">
        <w:rPr>
          <w:rFonts w:hint="eastAsia"/>
          <w:rtl/>
        </w:rPr>
        <w:t>–</w:t>
      </w:r>
      <w:r w:rsidR="0085250B">
        <w:rPr>
          <w:rFonts w:hint="cs"/>
          <w:rtl/>
        </w:rPr>
        <w:t>2017</w:t>
      </w:r>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85250B" w14:paraId="3C1A51BC" w14:textId="77777777" w:rsidTr="00997634">
        <w:trPr>
          <w:cantSplit/>
        </w:trPr>
        <w:tc>
          <w:tcPr>
            <w:tcW w:w="1871" w:type="dxa"/>
          </w:tcPr>
          <w:p w14:paraId="54A91437" w14:textId="77777777" w:rsidR="0085250B" w:rsidRDefault="0085250B" w:rsidP="00997634">
            <w:pPr>
              <w:pStyle w:val="TableSideHeading"/>
            </w:pPr>
            <w:r>
              <w:rPr>
                <w:rFonts w:hint="cs"/>
                <w:rtl/>
              </w:rPr>
              <w:t xml:space="preserve">תיקון סעיף 352 </w:t>
            </w:r>
          </w:p>
        </w:tc>
        <w:tc>
          <w:tcPr>
            <w:tcW w:w="624" w:type="dxa"/>
          </w:tcPr>
          <w:p w14:paraId="7579754B" w14:textId="77777777" w:rsidR="0085250B" w:rsidRDefault="0085250B" w:rsidP="00997634">
            <w:pPr>
              <w:pStyle w:val="TableText"/>
            </w:pPr>
            <w:r>
              <w:rPr>
                <w:rFonts w:hint="cs"/>
                <w:rtl/>
              </w:rPr>
              <w:t>1.</w:t>
            </w:r>
          </w:p>
        </w:tc>
        <w:tc>
          <w:tcPr>
            <w:tcW w:w="7143" w:type="dxa"/>
          </w:tcPr>
          <w:p w14:paraId="4F95ACFD" w14:textId="77777777" w:rsidR="0085250B" w:rsidRPr="00C34DE2" w:rsidRDefault="0085250B" w:rsidP="00247434">
            <w:pPr>
              <w:pStyle w:val="TableBlock"/>
            </w:pPr>
            <w:r>
              <w:rPr>
                <w:rtl/>
              </w:rPr>
              <w:t>בחוק העונשין, התשל"ז</w:t>
            </w:r>
            <w:r>
              <w:rPr>
                <w:rFonts w:hint="cs"/>
                <w:rtl/>
              </w:rPr>
              <w:t>–</w:t>
            </w:r>
            <w:r>
              <w:rPr>
                <w:rtl/>
              </w:rPr>
              <w:t>1977</w:t>
            </w:r>
            <w:r>
              <w:rPr>
                <w:rStyle w:val="a6"/>
                <w:rtl/>
              </w:rPr>
              <w:footnoteReference w:id="2"/>
            </w:r>
            <w:r>
              <w:rPr>
                <w:rFonts w:hint="cs"/>
                <w:rtl/>
              </w:rPr>
              <w:t xml:space="preserve">, </w:t>
            </w:r>
            <w:r>
              <w:rPr>
                <w:rtl/>
              </w:rPr>
              <w:t>בסעיף</w:t>
            </w:r>
            <w:r>
              <w:rPr>
                <w:rFonts w:hint="cs"/>
                <w:rtl/>
              </w:rPr>
              <w:t xml:space="preserve"> 352(ב) </w:t>
            </w:r>
            <w:r>
              <w:rPr>
                <w:rtl/>
              </w:rPr>
              <w:t>–</w:t>
            </w:r>
            <w:r>
              <w:rPr>
                <w:rFonts w:hint="cs"/>
                <w:rtl/>
              </w:rPr>
              <w:t xml:space="preserve"> </w:t>
            </w:r>
            <w:r>
              <w:rPr>
                <w:rtl/>
              </w:rPr>
              <w:t xml:space="preserve"> </w:t>
            </w:r>
          </w:p>
        </w:tc>
      </w:tr>
      <w:tr w:rsidR="0085250B" w14:paraId="50328302" w14:textId="77777777" w:rsidTr="00997634">
        <w:trPr>
          <w:cantSplit/>
        </w:trPr>
        <w:tc>
          <w:tcPr>
            <w:tcW w:w="1871" w:type="dxa"/>
          </w:tcPr>
          <w:p w14:paraId="58BE5B62" w14:textId="77777777" w:rsidR="0085250B" w:rsidRDefault="0085250B" w:rsidP="00997634">
            <w:pPr>
              <w:pStyle w:val="TableSideHeading"/>
            </w:pPr>
          </w:p>
        </w:tc>
        <w:tc>
          <w:tcPr>
            <w:tcW w:w="624" w:type="dxa"/>
          </w:tcPr>
          <w:p w14:paraId="19C4A063" w14:textId="77777777" w:rsidR="0085250B" w:rsidRDefault="0085250B" w:rsidP="00997634">
            <w:pPr>
              <w:pStyle w:val="TableText"/>
            </w:pPr>
          </w:p>
        </w:tc>
        <w:tc>
          <w:tcPr>
            <w:tcW w:w="7143" w:type="dxa"/>
          </w:tcPr>
          <w:p w14:paraId="2749AB04" w14:textId="5FBCBBAE" w:rsidR="0085250B" w:rsidRDefault="0085250B" w:rsidP="00AE1700">
            <w:pPr>
              <w:pStyle w:val="TableText"/>
              <w:jc w:val="both"/>
            </w:pPr>
            <w:r>
              <w:rPr>
                <w:rFonts w:hint="cs"/>
                <w:rtl/>
              </w:rPr>
              <w:t>(1)</w:t>
            </w:r>
            <w:r>
              <w:rPr>
                <w:rtl/>
              </w:rPr>
              <w:tab/>
            </w:r>
            <w:r w:rsidRPr="002A195A">
              <w:rPr>
                <w:rtl/>
              </w:rPr>
              <w:t>המ</w:t>
            </w:r>
            <w:r w:rsidR="00C21AB0">
              <w:rPr>
                <w:rFonts w:hint="cs"/>
                <w:rtl/>
              </w:rPr>
              <w:t>י</w:t>
            </w:r>
            <w:r w:rsidRPr="002A195A">
              <w:rPr>
                <w:rtl/>
              </w:rPr>
              <w:t>לים "בפני בית המשפט" – יימחקו</w:t>
            </w:r>
            <w:r>
              <w:rPr>
                <w:rFonts w:hint="cs"/>
                <w:rtl/>
              </w:rPr>
              <w:t>;</w:t>
            </w:r>
          </w:p>
        </w:tc>
      </w:tr>
      <w:tr w:rsidR="0085250B" w14:paraId="212E4BA8" w14:textId="77777777" w:rsidTr="00997634">
        <w:trPr>
          <w:cantSplit/>
        </w:trPr>
        <w:tc>
          <w:tcPr>
            <w:tcW w:w="1871" w:type="dxa"/>
          </w:tcPr>
          <w:p w14:paraId="3CD8B34D" w14:textId="77777777" w:rsidR="0085250B" w:rsidRDefault="0085250B" w:rsidP="00997634">
            <w:pPr>
              <w:pStyle w:val="TableSideHeading"/>
              <w:rPr>
                <w:rtl/>
              </w:rPr>
            </w:pPr>
          </w:p>
        </w:tc>
        <w:tc>
          <w:tcPr>
            <w:tcW w:w="624" w:type="dxa"/>
          </w:tcPr>
          <w:p w14:paraId="60636710" w14:textId="77777777" w:rsidR="0085250B" w:rsidRDefault="0085250B" w:rsidP="00997634">
            <w:pPr>
              <w:pStyle w:val="TableText"/>
            </w:pPr>
          </w:p>
        </w:tc>
        <w:tc>
          <w:tcPr>
            <w:tcW w:w="7143" w:type="dxa"/>
          </w:tcPr>
          <w:p w14:paraId="6075C5B3" w14:textId="635198E2" w:rsidR="0085250B" w:rsidRDefault="0085250B" w:rsidP="00AE1700">
            <w:pPr>
              <w:pStyle w:val="TableText"/>
              <w:jc w:val="both"/>
              <w:rPr>
                <w:rtl/>
              </w:rPr>
            </w:pPr>
            <w:r>
              <w:rPr>
                <w:rFonts w:hint="cs"/>
                <w:rtl/>
              </w:rPr>
              <w:t>(2)</w:t>
            </w:r>
            <w:r>
              <w:rPr>
                <w:rtl/>
              </w:rPr>
              <w:tab/>
            </w:r>
            <w:r>
              <w:rPr>
                <w:rStyle w:val="default"/>
                <w:rFonts w:hint="cs"/>
                <w:sz w:val="26"/>
                <w:rtl/>
              </w:rPr>
              <w:t>בסופו</w:t>
            </w:r>
            <w:r w:rsidR="00247434">
              <w:rPr>
                <w:rStyle w:val="default"/>
                <w:rFonts w:hint="cs"/>
                <w:sz w:val="26"/>
                <w:rtl/>
              </w:rPr>
              <w:t xml:space="preserve"> יבוא</w:t>
            </w:r>
            <w:r w:rsidRPr="00640F54">
              <w:rPr>
                <w:rStyle w:val="default"/>
                <w:rFonts w:hint="cs"/>
                <w:sz w:val="26"/>
                <w:rtl/>
              </w:rPr>
              <w:t xml:space="preserve"> "</w:t>
            </w:r>
            <w:r w:rsidRPr="006515BE">
              <w:rPr>
                <w:rStyle w:val="default"/>
                <w:rFonts w:hint="cs"/>
                <w:sz w:val="26"/>
                <w:rtl/>
              </w:rPr>
              <w:t xml:space="preserve">ואולם, </w:t>
            </w:r>
            <w:r w:rsidRPr="006515BE">
              <w:rPr>
                <w:rFonts w:hint="cs"/>
                <w:sz w:val="26"/>
                <w:rtl/>
              </w:rPr>
              <w:t xml:space="preserve">הסכמה שבאה בעקבות פניות חוזרות ונשנות </w:t>
            </w:r>
            <w:r>
              <w:rPr>
                <w:rFonts w:hint="cs"/>
                <w:sz w:val="26"/>
                <w:rtl/>
              </w:rPr>
              <w:t>תוך הטרדת נפגע העבירה</w:t>
            </w:r>
            <w:r w:rsidRPr="006515BE">
              <w:rPr>
                <w:rFonts w:hint="cs"/>
                <w:sz w:val="26"/>
                <w:rtl/>
              </w:rPr>
              <w:t>, לא תיחשב כהסכמה".</w:t>
            </w:r>
            <w:r w:rsidRPr="00640F54">
              <w:rPr>
                <w:rFonts w:hint="cs"/>
                <w:sz w:val="26"/>
                <w:rtl/>
              </w:rPr>
              <w:t> </w:t>
            </w:r>
          </w:p>
        </w:tc>
      </w:tr>
    </w:tbl>
    <w:p w14:paraId="7F6961CA" w14:textId="77777777" w:rsidR="002D1EE3" w:rsidRDefault="002D1EE3" w:rsidP="002D1EE3">
      <w:pPr>
        <w:pStyle w:val="HeadDivreiHesber"/>
        <w:rPr>
          <w:rtl/>
        </w:rPr>
      </w:pPr>
      <w:r w:rsidRPr="0027450A">
        <w:rPr>
          <w:rFonts w:hint="cs"/>
          <w:rtl/>
        </w:rPr>
        <w:t>דברי הסבר</w:t>
      </w:r>
    </w:p>
    <w:p w14:paraId="759661A7" w14:textId="26D9E6B5" w:rsidR="0085250B" w:rsidRPr="00652950" w:rsidRDefault="0085250B" w:rsidP="0085250B">
      <w:pPr>
        <w:pStyle w:val="Hesber"/>
      </w:pPr>
      <w:r w:rsidRPr="00652950">
        <w:rPr>
          <w:rFonts w:hint="cs"/>
          <w:rtl/>
        </w:rPr>
        <w:t>סעיף 352 לחוק העונשין</w:t>
      </w:r>
      <w:r>
        <w:rPr>
          <w:rFonts w:hint="cs"/>
          <w:rtl/>
        </w:rPr>
        <w:t>,</w:t>
      </w:r>
      <w:r w:rsidRPr="00083936">
        <w:rPr>
          <w:rtl/>
        </w:rPr>
        <w:t xml:space="preserve"> </w:t>
      </w:r>
      <w:r>
        <w:rPr>
          <w:rtl/>
        </w:rPr>
        <w:t>התשל"ז</w:t>
      </w:r>
      <w:r>
        <w:rPr>
          <w:rFonts w:hint="cs"/>
          <w:rtl/>
        </w:rPr>
        <w:t>–</w:t>
      </w:r>
      <w:r>
        <w:rPr>
          <w:rtl/>
        </w:rPr>
        <w:t>1977</w:t>
      </w:r>
      <w:r w:rsidRPr="00652950">
        <w:rPr>
          <w:rFonts w:hint="cs"/>
          <w:rtl/>
        </w:rPr>
        <w:t xml:space="preserve"> </w:t>
      </w:r>
      <w:r w:rsidR="00C21AB0">
        <w:rPr>
          <w:rFonts w:hint="cs"/>
          <w:rtl/>
        </w:rPr>
        <w:t xml:space="preserve">קובע כי: </w:t>
      </w:r>
      <w:r w:rsidRPr="00652950">
        <w:rPr>
          <w:rFonts w:hint="cs"/>
          <w:rtl/>
        </w:rPr>
        <w:t>"</w:t>
      </w:r>
      <w:r w:rsidRPr="00652950">
        <w:rPr>
          <w:rtl/>
        </w:rPr>
        <w:t xml:space="preserve">המפרסם ברבים שמו של אדם או של כל דבר שיש בו כדי לזהות אדם כמי שנפגע בעבירה או כמי שהתלונן כי הוא נפגע בעבירה לפי סימן זה, בין על ידי כלל הציבור ובין על ידי סביבתו הקרובה, או לרמוז על זיהויו כאמור, בין באמצעות פרסום של קולו, דמותו, כולה או חלקה, סביבתו או דמויות הקרובות לו, ובין בדרך אחרת, דינו </w:t>
      </w:r>
      <w:r w:rsidRPr="00652950">
        <w:rPr>
          <w:rFonts w:hint="cs"/>
          <w:rtl/>
        </w:rPr>
        <w:t>–</w:t>
      </w:r>
      <w:r w:rsidRPr="00652950">
        <w:rPr>
          <w:rtl/>
        </w:rPr>
        <w:t xml:space="preserve"> מאסר שנה</w:t>
      </w:r>
      <w:r w:rsidRPr="00652950">
        <w:rPr>
          <w:rFonts w:hint="cs"/>
          <w:rtl/>
        </w:rPr>
        <w:t>"</w:t>
      </w:r>
      <w:r w:rsidRPr="00652950">
        <w:rPr>
          <w:rtl/>
        </w:rPr>
        <w:t>.</w:t>
      </w:r>
      <w:r>
        <w:rPr>
          <w:rFonts w:hint="cs"/>
          <w:rtl/>
        </w:rPr>
        <w:t xml:space="preserve"> לצד זאת, בסעיף קטן (ב) נקבע כי יינתן פטור מאחריות פלילית "</w:t>
      </w:r>
      <w:r w:rsidRPr="000A4B3C">
        <w:rPr>
          <w:rtl/>
        </w:rPr>
        <w:t>אם האדם ששמו או זהותו פורסמו כאמור נתן את הסכמתו לפרסום, בפני בית משפט</w:t>
      </w:r>
      <w:r>
        <w:rPr>
          <w:rFonts w:hint="cs"/>
          <w:rtl/>
        </w:rPr>
        <w:t>".</w:t>
      </w:r>
    </w:p>
    <w:p w14:paraId="252D35DC" w14:textId="77777777" w:rsidR="0085250B" w:rsidRPr="00652950" w:rsidRDefault="0085250B" w:rsidP="0085250B">
      <w:pPr>
        <w:pStyle w:val="Hesber"/>
        <w:rPr>
          <w:rtl/>
        </w:rPr>
      </w:pPr>
      <w:r w:rsidRPr="00652950">
        <w:rPr>
          <w:rFonts w:hint="cs"/>
          <w:rtl/>
        </w:rPr>
        <w:t>בעקבות סעיף זה, המערב את בית המשפט בהליך הפרסום, חוות נפגעות עבירות מין תחושות של השתקה ובושה.</w:t>
      </w:r>
    </w:p>
    <w:p w14:paraId="52780BDE" w14:textId="5E7D66AD" w:rsidR="0085250B" w:rsidRPr="00652950" w:rsidRDefault="0085250B" w:rsidP="0085250B">
      <w:pPr>
        <w:pStyle w:val="Hesber"/>
        <w:rPr>
          <w:rtl/>
        </w:rPr>
      </w:pPr>
      <w:r>
        <w:rPr>
          <w:rFonts w:hint="cs"/>
          <w:rtl/>
        </w:rPr>
        <w:t>נפגעות עבירה</w:t>
      </w:r>
      <w:r w:rsidRPr="00652950">
        <w:rPr>
          <w:rFonts w:hint="cs"/>
          <w:rtl/>
        </w:rPr>
        <w:t xml:space="preserve"> חוששות פעמים רבות מפרסום שמן בתקשורת מסיבות שונות, בהן, החשש מאות קלון חברתי להן ולמשפחתן, החשש מפירוק המשפחה במקרים של פגיעה מינית בתוך המשפחה, היעדר ההזדהות עמן, או תחושות אשם הנגרמות עקב התופעה השלילית של האשמת הקורבן. לעומתן, </w:t>
      </w:r>
      <w:r>
        <w:rPr>
          <w:rFonts w:hint="cs"/>
          <w:rtl/>
        </w:rPr>
        <w:t>נפגעות עבירה אחרות</w:t>
      </w:r>
      <w:r w:rsidRPr="00652950">
        <w:rPr>
          <w:rFonts w:hint="cs"/>
          <w:rtl/>
        </w:rPr>
        <w:t xml:space="preserve"> ר</w:t>
      </w:r>
      <w:r w:rsidR="00C21AB0">
        <w:rPr>
          <w:rFonts w:hint="cs"/>
          <w:rtl/>
        </w:rPr>
        <w:t>ואות בפרסום שמן בתקשורת וחשיפתן</w:t>
      </w:r>
      <w:r w:rsidRPr="00652950">
        <w:rPr>
          <w:rFonts w:hint="cs"/>
          <w:rtl/>
        </w:rPr>
        <w:t xml:space="preserve"> צעד נוסף למיגור פגיעות מיניות. הן רואות בחשיפה </w:t>
      </w:r>
      <w:r w:rsidR="00E25A9C">
        <w:rPr>
          <w:rFonts w:hint="cs"/>
          <w:rtl/>
        </w:rPr>
        <w:t>כ</w:t>
      </w:r>
      <w:r w:rsidRPr="00652950">
        <w:rPr>
          <w:rFonts w:hint="cs"/>
          <w:rtl/>
        </w:rPr>
        <w:t>מקור לשחרור החוויות שנצרו בתוכן</w:t>
      </w:r>
      <w:r w:rsidR="00E25A9C">
        <w:rPr>
          <w:rFonts w:hint="cs"/>
          <w:rtl/>
        </w:rPr>
        <w:t>,</w:t>
      </w:r>
      <w:r w:rsidRPr="00652950">
        <w:rPr>
          <w:rFonts w:hint="cs"/>
          <w:rtl/>
        </w:rPr>
        <w:t xml:space="preserve"> </w:t>
      </w:r>
      <w:r w:rsidR="00E25A9C">
        <w:rPr>
          <w:rFonts w:hint="cs"/>
          <w:rtl/>
        </w:rPr>
        <w:t>וכמעין</w:t>
      </w:r>
      <w:r w:rsidRPr="00652950">
        <w:rPr>
          <w:rFonts w:hint="cs"/>
          <w:rtl/>
        </w:rPr>
        <w:t xml:space="preserve"> שליחות להגנה על אלה שנמצאות במצב דומה אך אינן מתלוננות בשל הסיבות שצוינו.</w:t>
      </w:r>
    </w:p>
    <w:p w14:paraId="626C2068" w14:textId="15AA69AC" w:rsidR="0085250B" w:rsidRPr="00652950" w:rsidRDefault="00E25A9C" w:rsidP="00C21AB0">
      <w:pPr>
        <w:pStyle w:val="Hesber"/>
        <w:rPr>
          <w:rtl/>
        </w:rPr>
      </w:pPr>
      <w:r>
        <w:rPr>
          <w:rFonts w:hint="cs"/>
          <w:rtl/>
        </w:rPr>
        <w:t>ה</w:t>
      </w:r>
      <w:r w:rsidR="0085250B" w:rsidRPr="00652950">
        <w:rPr>
          <w:rFonts w:hint="cs"/>
          <w:rtl/>
        </w:rPr>
        <w:t>חקיקה הקיימת</w:t>
      </w:r>
      <w:r>
        <w:rPr>
          <w:rFonts w:hint="cs"/>
          <w:rtl/>
        </w:rPr>
        <w:t xml:space="preserve"> </w:t>
      </w:r>
      <w:r w:rsidR="0085250B" w:rsidRPr="00652950">
        <w:rPr>
          <w:rFonts w:hint="cs"/>
          <w:rtl/>
        </w:rPr>
        <w:t xml:space="preserve">מכבידה על פרסום שמן של נפגעות עבירה מינית </w:t>
      </w:r>
      <w:r>
        <w:rPr>
          <w:rFonts w:hint="cs"/>
          <w:rtl/>
        </w:rPr>
        <w:t>ו</w:t>
      </w:r>
      <w:r w:rsidR="0085250B" w:rsidRPr="00652950">
        <w:rPr>
          <w:rFonts w:hint="cs"/>
          <w:rtl/>
        </w:rPr>
        <w:t xml:space="preserve">ממשיכה את מעגל השליטה </w:t>
      </w:r>
      <w:r w:rsidR="00C21AB0">
        <w:rPr>
          <w:rFonts w:hint="cs"/>
          <w:rtl/>
        </w:rPr>
        <w:t>ש</w:t>
      </w:r>
      <w:r>
        <w:rPr>
          <w:rFonts w:hint="cs"/>
          <w:rtl/>
        </w:rPr>
        <w:t>אותו</w:t>
      </w:r>
      <w:r w:rsidRPr="00652950">
        <w:rPr>
          <w:rFonts w:hint="cs"/>
          <w:rtl/>
        </w:rPr>
        <w:t xml:space="preserve"> </w:t>
      </w:r>
      <w:r>
        <w:rPr>
          <w:rFonts w:hint="cs"/>
          <w:rtl/>
        </w:rPr>
        <w:t>משוועות</w:t>
      </w:r>
      <w:r w:rsidRPr="00652950">
        <w:rPr>
          <w:rFonts w:hint="cs"/>
          <w:rtl/>
        </w:rPr>
        <w:t xml:space="preserve"> </w:t>
      </w:r>
      <w:r w:rsidR="0085250B" w:rsidRPr="00652950">
        <w:rPr>
          <w:rFonts w:hint="cs"/>
          <w:rtl/>
        </w:rPr>
        <w:t xml:space="preserve">נפגעות עבירות המין </w:t>
      </w:r>
      <w:r w:rsidRPr="00652950">
        <w:rPr>
          <w:rFonts w:hint="cs"/>
          <w:rtl/>
        </w:rPr>
        <w:t>ל</w:t>
      </w:r>
      <w:r>
        <w:rPr>
          <w:rFonts w:hint="cs"/>
          <w:rtl/>
        </w:rPr>
        <w:t>פרוץ</w:t>
      </w:r>
      <w:r w:rsidR="0085250B" w:rsidRPr="00652950">
        <w:rPr>
          <w:rFonts w:hint="cs"/>
          <w:rtl/>
        </w:rPr>
        <w:t xml:space="preserve">. יש להניח שמנגנון מסורבל המטיל חיסיון אוטומטי על זהות </w:t>
      </w:r>
      <w:r w:rsidR="00C21AB0">
        <w:rPr>
          <w:rFonts w:hint="cs"/>
          <w:rtl/>
        </w:rPr>
        <w:t>הנפגע</w:t>
      </w:r>
      <w:r w:rsidR="0085250B" w:rsidRPr="00652950">
        <w:rPr>
          <w:rFonts w:hint="cs"/>
          <w:rtl/>
        </w:rPr>
        <w:t xml:space="preserve">, מבלי להקשיב לרצונו, עושה עם </w:t>
      </w:r>
      <w:r w:rsidR="00C21AB0">
        <w:rPr>
          <w:rFonts w:hint="cs"/>
          <w:rtl/>
        </w:rPr>
        <w:t>הנפגע</w:t>
      </w:r>
      <w:r w:rsidR="0085250B" w:rsidRPr="00652950">
        <w:rPr>
          <w:rFonts w:hint="cs"/>
          <w:rtl/>
        </w:rPr>
        <w:t xml:space="preserve"> עוול נוסף שכן הוא מאשש את בושתו ומעצים את תחושת חוסר </w:t>
      </w:r>
      <w:r w:rsidR="0085250B" w:rsidRPr="00652950">
        <w:rPr>
          <w:rFonts w:hint="cs"/>
          <w:rtl/>
        </w:rPr>
        <w:lastRenderedPageBreak/>
        <w:t xml:space="preserve">הישע אותה </w:t>
      </w:r>
      <w:r>
        <w:rPr>
          <w:rFonts w:hint="cs"/>
          <w:rtl/>
        </w:rPr>
        <w:t xml:space="preserve">הוא </w:t>
      </w:r>
      <w:r w:rsidR="0085250B" w:rsidRPr="00652950">
        <w:rPr>
          <w:rFonts w:hint="cs"/>
          <w:rtl/>
        </w:rPr>
        <w:t xml:space="preserve">חווה. </w:t>
      </w:r>
    </w:p>
    <w:p w14:paraId="69243109" w14:textId="77777777" w:rsidR="0085250B" w:rsidRPr="00652950" w:rsidRDefault="0085250B" w:rsidP="0085250B">
      <w:pPr>
        <w:pStyle w:val="Hesber"/>
        <w:rPr>
          <w:rtl/>
        </w:rPr>
      </w:pPr>
      <w:r w:rsidRPr="00652950">
        <w:rPr>
          <w:rFonts w:hint="cs"/>
          <w:rtl/>
        </w:rPr>
        <w:t xml:space="preserve">הצעת החוק </w:t>
      </w:r>
      <w:r>
        <w:rPr>
          <w:rFonts w:hint="cs"/>
          <w:rtl/>
        </w:rPr>
        <w:t>נועדה</w:t>
      </w:r>
      <w:r w:rsidRPr="00652950">
        <w:rPr>
          <w:rFonts w:hint="cs"/>
          <w:rtl/>
        </w:rPr>
        <w:t xml:space="preserve"> </w:t>
      </w:r>
      <w:r>
        <w:rPr>
          <w:rFonts w:hint="cs"/>
          <w:rtl/>
        </w:rPr>
        <w:t>להקל על הנפגעת במובן זה</w:t>
      </w:r>
      <w:r w:rsidRPr="00652950">
        <w:rPr>
          <w:rFonts w:hint="cs"/>
          <w:rtl/>
        </w:rPr>
        <w:t xml:space="preserve"> </w:t>
      </w:r>
      <w:r>
        <w:rPr>
          <w:rFonts w:hint="cs"/>
          <w:rtl/>
        </w:rPr>
        <w:t>ש</w:t>
      </w:r>
      <w:r w:rsidRPr="00652950">
        <w:rPr>
          <w:rFonts w:hint="cs"/>
          <w:rtl/>
        </w:rPr>
        <w:t>אישורה או סירובה של נפגעת עבירת מין לפרסם את שמה ודמותה בתקשורת יהיה הגורם הבלעדי שיקבע</w:t>
      </w:r>
      <w:r>
        <w:rPr>
          <w:rFonts w:hint="cs"/>
          <w:rtl/>
        </w:rPr>
        <w:t xml:space="preserve"> האם הפרסום יותר או ייאסר, מבלי שתידרש לפנות לבית המשפט בעניין.</w:t>
      </w:r>
    </w:p>
    <w:p w14:paraId="2C7A1EC1" w14:textId="0DFD54D5" w:rsidR="0085250B" w:rsidRDefault="0085250B" w:rsidP="00C21AB0">
      <w:pPr>
        <w:pStyle w:val="Hesber"/>
        <w:rPr>
          <w:rtl/>
        </w:rPr>
      </w:pPr>
      <w:r w:rsidRPr="00652950">
        <w:rPr>
          <w:rFonts w:hint="cs"/>
          <w:rtl/>
        </w:rPr>
        <w:t xml:space="preserve">במקביל, </w:t>
      </w:r>
      <w:r w:rsidR="00C21AB0">
        <w:rPr>
          <w:rFonts w:hint="cs"/>
          <w:rtl/>
        </w:rPr>
        <w:t>כדי</w:t>
      </w:r>
      <w:r w:rsidRPr="00652950">
        <w:rPr>
          <w:rFonts w:hint="cs"/>
          <w:rtl/>
        </w:rPr>
        <w:t xml:space="preserve"> שגורמי תקשורת לא ינצלו את מצבן של הנפגעות, מוצע לקבוע כי הסכמה שבאה בעקבות פניות חוזרות ונשנות תוך הטרדת נפגע העבירה, לא תיחשב כהסכמה, </w:t>
      </w:r>
      <w:r>
        <w:rPr>
          <w:rFonts w:hint="cs"/>
          <w:rtl/>
        </w:rPr>
        <w:t>ו</w:t>
      </w:r>
      <w:r w:rsidRPr="00652950">
        <w:rPr>
          <w:rFonts w:hint="cs"/>
          <w:rtl/>
        </w:rPr>
        <w:t>כך יהיה ניתן להבטיח כי ההסכמה אכן נ</w:t>
      </w:r>
      <w:r>
        <w:rPr>
          <w:rFonts w:hint="cs"/>
          <w:rtl/>
        </w:rPr>
        <w:t>י</w:t>
      </w:r>
      <w:r w:rsidRPr="00652950">
        <w:rPr>
          <w:rFonts w:hint="cs"/>
          <w:rtl/>
        </w:rPr>
        <w:t>תנה מרצונה החופשי של הנפגעת.</w:t>
      </w:r>
    </w:p>
    <w:p w14:paraId="6C776FA5" w14:textId="58241F12" w:rsidR="00471AEC" w:rsidRDefault="00247434" w:rsidP="00C21AB0">
      <w:pPr>
        <w:pStyle w:val="Hesber"/>
        <w:rPr>
          <w:rtl/>
        </w:rPr>
      </w:pPr>
      <w:r>
        <w:rPr>
          <w:rtl/>
        </w:rPr>
        <w:t>הצעת חוק בנושא דומה</w:t>
      </w:r>
      <w:r w:rsidR="00425A2E">
        <w:rPr>
          <w:rFonts w:hint="cs"/>
          <w:rtl/>
        </w:rPr>
        <w:t xml:space="preserve"> ה</w:t>
      </w:r>
      <w:r>
        <w:rPr>
          <w:rFonts w:hint="cs"/>
          <w:rtl/>
        </w:rPr>
        <w:t>ונ</w:t>
      </w:r>
      <w:r w:rsidR="00425A2E">
        <w:rPr>
          <w:rFonts w:hint="cs"/>
          <w:rtl/>
        </w:rPr>
        <w:t>חה על שולחן הכנ</w:t>
      </w:r>
      <w:r w:rsidR="00471AEC">
        <w:rPr>
          <w:rFonts w:hint="cs"/>
          <w:rtl/>
        </w:rPr>
        <w:t>סת ה</w:t>
      </w:r>
      <w:r w:rsidR="00C21AB0">
        <w:rPr>
          <w:rFonts w:hint="cs"/>
          <w:rtl/>
        </w:rPr>
        <w:t>עשרים</w:t>
      </w:r>
      <w:r w:rsidR="00471AEC">
        <w:rPr>
          <w:rFonts w:hint="cs"/>
          <w:rtl/>
        </w:rPr>
        <w:t xml:space="preserve"> על ידי חברת הכנסת</w:t>
      </w:r>
      <w:r>
        <w:rPr>
          <w:rFonts w:hint="cs"/>
          <w:rtl/>
        </w:rPr>
        <w:t xml:space="preserve"> עליזה לביא וקבוצת חברי הכנסת (פ/</w:t>
      </w:r>
      <w:r>
        <w:rPr>
          <w:rtl/>
        </w:rPr>
        <w:t>3849/20</w:t>
      </w:r>
      <w:r>
        <w:rPr>
          <w:rFonts w:hint="cs"/>
          <w:rtl/>
        </w:rPr>
        <w:t xml:space="preserve">; הוסרה מסדר היום ביום </w:t>
      </w:r>
      <w:r w:rsidRPr="00471AEC">
        <w:rPr>
          <w:rtl/>
        </w:rPr>
        <w:t>כ"ו בחשון התשע"ח</w:t>
      </w:r>
      <w:r>
        <w:rPr>
          <w:rFonts w:hint="cs"/>
          <w:rtl/>
        </w:rPr>
        <w:t xml:space="preserve"> (15 לנובמבר 2017))</w:t>
      </w:r>
      <w:r w:rsidR="00E25A9C">
        <w:rPr>
          <w:rFonts w:hint="cs"/>
          <w:rtl/>
        </w:rPr>
        <w:t>.</w:t>
      </w:r>
      <w:r>
        <w:rPr>
          <w:rFonts w:hint="cs"/>
          <w:rtl/>
        </w:rPr>
        <w:t xml:space="preserve"> הצעת חוק זהה הונחה על שולחן הכנסת העשרים על ידי חברת הכנסת</w:t>
      </w:r>
      <w:r w:rsidR="00471AEC">
        <w:rPr>
          <w:rFonts w:hint="cs"/>
          <w:rtl/>
        </w:rPr>
        <w:t xml:space="preserve"> </w:t>
      </w:r>
      <w:r w:rsidR="00471AEC" w:rsidRPr="00AE1700">
        <w:rPr>
          <w:rtl/>
        </w:rPr>
        <w:t>אורלי לוי אבקסיס</w:t>
      </w:r>
      <w:r w:rsidR="00471AEC">
        <w:rPr>
          <w:rFonts w:hint="cs"/>
          <w:rtl/>
        </w:rPr>
        <w:t xml:space="preserve"> וקבוצת חברי הכנסת (פ/</w:t>
      </w:r>
      <w:r w:rsidR="00471AEC">
        <w:rPr>
          <w:rtl/>
        </w:rPr>
        <w:t>3848/20</w:t>
      </w:r>
      <w:r w:rsidR="00471AEC">
        <w:rPr>
          <w:rFonts w:hint="cs"/>
          <w:rtl/>
        </w:rPr>
        <w:t xml:space="preserve">; הוסרה מסדר היום ביום </w:t>
      </w:r>
      <w:r w:rsidR="00471AEC" w:rsidRPr="00471AEC">
        <w:rPr>
          <w:rtl/>
        </w:rPr>
        <w:t>כ"ו בחשון התשע"ח</w:t>
      </w:r>
      <w:r w:rsidR="00471AEC">
        <w:rPr>
          <w:rFonts w:hint="cs"/>
          <w:rtl/>
        </w:rPr>
        <w:t xml:space="preserve"> (15 לנובמבר 2017)</w:t>
      </w:r>
      <w:r>
        <w:rPr>
          <w:rFonts w:hint="cs"/>
          <w:rtl/>
        </w:rPr>
        <w:t>).</w:t>
      </w:r>
    </w:p>
    <w:p w14:paraId="7F6961CB" w14:textId="77777777" w:rsidR="00E13C27" w:rsidRDefault="00E13C27" w:rsidP="00E13C27">
      <w:pPr>
        <w:pStyle w:val="Hesber"/>
        <w:rPr>
          <w:rtl/>
        </w:rPr>
      </w:pPr>
    </w:p>
    <w:p w14:paraId="2EAD3644" w14:textId="010D8528" w:rsidR="00247434" w:rsidRDefault="00247434" w:rsidP="00E13C27">
      <w:pPr>
        <w:pStyle w:val="Hesber"/>
        <w:rPr>
          <w:rtl/>
        </w:rPr>
      </w:pPr>
    </w:p>
    <w:p w14:paraId="71309F9D" w14:textId="77777777" w:rsidR="00DC06E2" w:rsidRPr="00D73212" w:rsidRDefault="00DC06E2" w:rsidP="00DC06E2">
      <w:pPr>
        <w:pStyle w:val="Hesber"/>
        <w:rPr>
          <w:color w:val="auto"/>
          <w:rtl/>
          <w:lang w:eastAsia="en-US"/>
        </w:rPr>
      </w:pPr>
      <w:r w:rsidRPr="00D73212">
        <w:rPr>
          <w:color w:val="auto"/>
          <w:rtl/>
          <w:lang w:eastAsia="en-US"/>
        </w:rPr>
        <w:t>---------------------------------</w:t>
      </w:r>
    </w:p>
    <w:p w14:paraId="71684032" w14:textId="77777777" w:rsidR="00DC06E2" w:rsidRPr="00D73212" w:rsidRDefault="00DC06E2" w:rsidP="00DC06E2">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4773A93D" w14:textId="77777777" w:rsidR="00DC06E2" w:rsidRPr="00D73212" w:rsidRDefault="00DC06E2" w:rsidP="00DC06E2">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3B30525E" w14:textId="77777777" w:rsidR="00DC06E2" w:rsidRPr="00317312" w:rsidRDefault="00DC06E2" w:rsidP="00DC06E2">
      <w:pPr>
        <w:pStyle w:val="Hesber"/>
      </w:pPr>
      <w:r>
        <w:rPr>
          <w:rFonts w:hint="cs"/>
          <w:color w:val="auto"/>
          <w:rtl/>
          <w:lang w:eastAsia="en-US"/>
        </w:rPr>
        <w:t>ט' בכסלו</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27.11</w:t>
      </w:r>
      <w:r w:rsidRPr="00D73212">
        <w:rPr>
          <w:color w:val="auto"/>
          <w:rtl/>
          <w:lang w:eastAsia="en-US"/>
        </w:rPr>
        <w:t>.</w:t>
      </w:r>
      <w:r>
        <w:rPr>
          <w:rFonts w:hint="cs"/>
          <w:color w:val="auto"/>
          <w:rtl/>
          <w:lang w:eastAsia="en-US"/>
        </w:rPr>
        <w:t>17</w:t>
      </w:r>
    </w:p>
    <w:p w14:paraId="407A111F" w14:textId="2C4CCCA5" w:rsidR="00C21AB0" w:rsidRDefault="00C21AB0" w:rsidP="00E13C27">
      <w:pPr>
        <w:pStyle w:val="Hesber"/>
        <w:rPr>
          <w:rtl/>
        </w:rPr>
      </w:pPr>
      <w:bookmarkStart w:id="8" w:name="_GoBack"/>
      <w:bookmarkEnd w:id="8"/>
    </w:p>
    <w:p w14:paraId="7484F8E1" w14:textId="77777777" w:rsidR="00C21AB0" w:rsidRDefault="00C21AB0" w:rsidP="00E13C27">
      <w:pPr>
        <w:pStyle w:val="Hesber"/>
        <w:rPr>
          <w:rtl/>
        </w:rPr>
      </w:pPr>
    </w:p>
    <w:p w14:paraId="7E258934" w14:textId="77777777" w:rsidR="00247434" w:rsidRDefault="00247434" w:rsidP="00E13C27">
      <w:pPr>
        <w:pStyle w:val="Hesber"/>
        <w:rPr>
          <w:rtl/>
        </w:rPr>
      </w:pPr>
    </w:p>
    <w:p w14:paraId="7DACC2B4" w14:textId="77777777" w:rsidR="00247434" w:rsidRDefault="00247434" w:rsidP="00E13C27">
      <w:pPr>
        <w:pStyle w:val="Hesber"/>
        <w:rPr>
          <w:rtl/>
        </w:rPr>
      </w:pPr>
    </w:p>
    <w:p w14:paraId="0D1E20C6" w14:textId="77777777" w:rsidR="00247434" w:rsidRDefault="00247434" w:rsidP="00E13C27">
      <w:pPr>
        <w:pStyle w:val="Hesber"/>
        <w:rPr>
          <w:rtl/>
        </w:rPr>
      </w:pPr>
    </w:p>
    <w:p w14:paraId="4A977EF8" w14:textId="77777777" w:rsidR="00247434" w:rsidRDefault="00247434" w:rsidP="00E13C27">
      <w:pPr>
        <w:pStyle w:val="Hesber"/>
        <w:rPr>
          <w:rtl/>
        </w:rPr>
      </w:pPr>
    </w:p>
    <w:p w14:paraId="7D310BC4" w14:textId="77777777" w:rsidR="00247434" w:rsidRDefault="00247434" w:rsidP="00E13C27">
      <w:pPr>
        <w:pStyle w:val="Hesber"/>
        <w:rPr>
          <w:rtl/>
        </w:rPr>
      </w:pPr>
    </w:p>
    <w:p w14:paraId="49F9FF38" w14:textId="77777777" w:rsidR="00247434" w:rsidRDefault="00247434" w:rsidP="00E13C27">
      <w:pPr>
        <w:pStyle w:val="Hesber"/>
        <w:rPr>
          <w:rtl/>
        </w:rPr>
      </w:pPr>
    </w:p>
    <w:p w14:paraId="086916D6" w14:textId="77777777" w:rsidR="00247434" w:rsidRDefault="00247434" w:rsidP="00E13C27">
      <w:pPr>
        <w:pStyle w:val="Hesber"/>
        <w:rPr>
          <w:rtl/>
        </w:rPr>
      </w:pPr>
    </w:p>
    <w:p w14:paraId="35382E74" w14:textId="77777777" w:rsidR="00247434" w:rsidRDefault="00247434" w:rsidP="00E13C27">
      <w:pPr>
        <w:pStyle w:val="Hesber"/>
        <w:rPr>
          <w:rtl/>
        </w:rPr>
      </w:pPr>
    </w:p>
    <w:p w14:paraId="2CBAF949" w14:textId="77777777" w:rsidR="00247434" w:rsidRDefault="00247434" w:rsidP="00E13C27">
      <w:pPr>
        <w:pStyle w:val="Hesber"/>
        <w:rPr>
          <w:rtl/>
        </w:rPr>
      </w:pPr>
    </w:p>
    <w:p w14:paraId="2CA3CA06" w14:textId="77777777" w:rsidR="00247434" w:rsidRDefault="00247434" w:rsidP="00E13C27">
      <w:pPr>
        <w:pStyle w:val="Hesber"/>
        <w:rPr>
          <w:rtl/>
        </w:rPr>
      </w:pPr>
    </w:p>
    <w:p w14:paraId="56CCDDB6" w14:textId="77777777" w:rsidR="00247434" w:rsidRDefault="00247434" w:rsidP="00E13C27">
      <w:pPr>
        <w:pStyle w:val="Hesber"/>
        <w:rPr>
          <w:rtl/>
        </w:rPr>
      </w:pPr>
    </w:p>
    <w:p w14:paraId="7D4B7E04" w14:textId="77777777" w:rsidR="00247434" w:rsidRDefault="00247434" w:rsidP="00E13C27">
      <w:pPr>
        <w:pStyle w:val="Hesber"/>
        <w:rPr>
          <w:rtl/>
        </w:rPr>
      </w:pPr>
    </w:p>
    <w:p w14:paraId="1B5966FE" w14:textId="77777777" w:rsidR="00247434" w:rsidRDefault="00247434" w:rsidP="00E13C27">
      <w:pPr>
        <w:pStyle w:val="Hesber"/>
        <w:rPr>
          <w:rtl/>
        </w:rPr>
      </w:pPr>
    </w:p>
    <w:p w14:paraId="3442A14F" w14:textId="77777777" w:rsidR="00247434" w:rsidRDefault="00247434" w:rsidP="00E13C27">
      <w:pPr>
        <w:pStyle w:val="Hesber"/>
        <w:rPr>
          <w:rtl/>
        </w:rPr>
      </w:pPr>
    </w:p>
    <w:p w14:paraId="64DFEE66" w14:textId="77777777" w:rsidR="00247434" w:rsidRDefault="00247434" w:rsidP="00E13C27">
      <w:pPr>
        <w:pStyle w:val="Hesber"/>
        <w:rPr>
          <w:rtl/>
        </w:rPr>
      </w:pPr>
    </w:p>
    <w:p w14:paraId="73316A48" w14:textId="77777777" w:rsidR="00247434" w:rsidRDefault="00247434" w:rsidP="00E13C27">
      <w:pPr>
        <w:pStyle w:val="Hesber"/>
        <w:rPr>
          <w:rtl/>
        </w:rPr>
      </w:pPr>
    </w:p>
    <w:p w14:paraId="58C45C98" w14:textId="77777777" w:rsidR="00247434" w:rsidRDefault="00247434" w:rsidP="00E13C27">
      <w:pPr>
        <w:pStyle w:val="Hesber"/>
        <w:rPr>
          <w:rtl/>
        </w:rPr>
      </w:pPr>
    </w:p>
    <w:p w14:paraId="3A9D2C6C" w14:textId="77777777" w:rsidR="00247434" w:rsidRDefault="00247434" w:rsidP="00E13C27">
      <w:pPr>
        <w:pStyle w:val="Hesber"/>
        <w:rPr>
          <w:rtl/>
        </w:rPr>
      </w:pPr>
    </w:p>
    <w:p w14:paraId="0F339A55" w14:textId="77777777" w:rsidR="00247434" w:rsidRDefault="00247434" w:rsidP="00E13C27">
      <w:pPr>
        <w:pStyle w:val="Hesber"/>
        <w:rPr>
          <w:rtl/>
        </w:rPr>
      </w:pPr>
    </w:p>
    <w:p w14:paraId="05DEA96B" w14:textId="77777777" w:rsidR="00247434" w:rsidRDefault="00247434" w:rsidP="00E13C27">
      <w:pPr>
        <w:pStyle w:val="Hesber"/>
        <w:rPr>
          <w:rtl/>
        </w:rPr>
      </w:pPr>
    </w:p>
    <w:p w14:paraId="479FB3D9" w14:textId="77777777" w:rsidR="00247434" w:rsidRDefault="00247434" w:rsidP="00E13C27">
      <w:pPr>
        <w:pStyle w:val="Hesber"/>
        <w:rPr>
          <w:rtl/>
        </w:rPr>
      </w:pPr>
    </w:p>
    <w:p w14:paraId="045E5F4F" w14:textId="77777777" w:rsidR="00247434" w:rsidRDefault="00247434" w:rsidP="00E13C27">
      <w:pPr>
        <w:pStyle w:val="Hesber"/>
        <w:rPr>
          <w:rtl/>
        </w:rPr>
      </w:pPr>
    </w:p>
    <w:p w14:paraId="77C4816D" w14:textId="77777777" w:rsidR="00247434" w:rsidRDefault="00247434" w:rsidP="00E13C27">
      <w:pPr>
        <w:pStyle w:val="Hesber"/>
        <w:rPr>
          <w:rtl/>
        </w:rPr>
      </w:pPr>
    </w:p>
    <w:p w14:paraId="3C08EEDE" w14:textId="77777777" w:rsidR="00247434" w:rsidRDefault="00247434" w:rsidP="00AE1700">
      <w:pPr>
        <w:pStyle w:val="Hesber"/>
        <w:ind w:firstLine="0"/>
        <w:rPr>
          <w:rtl/>
        </w:rPr>
      </w:pPr>
    </w:p>
    <w:sectPr w:rsidR="0024743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C06E2">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8192787" w14:textId="77777777" w:rsidR="0085250B" w:rsidRDefault="0085250B" w:rsidP="0085250B">
      <w:pPr>
        <w:pStyle w:val="a4"/>
        <w:rPr>
          <w:rtl/>
        </w:rPr>
      </w:pPr>
      <w:r>
        <w:rPr>
          <w:rStyle w:val="a6"/>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47434"/>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25A2E"/>
    <w:rsid w:val="00471AE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20892"/>
    <w:rsid w:val="00735FE9"/>
    <w:rsid w:val="00763CAA"/>
    <w:rsid w:val="00765F66"/>
    <w:rsid w:val="0078664F"/>
    <w:rsid w:val="007C3FA6"/>
    <w:rsid w:val="007D585A"/>
    <w:rsid w:val="007D5A12"/>
    <w:rsid w:val="007E59F9"/>
    <w:rsid w:val="00810BCD"/>
    <w:rsid w:val="00812C98"/>
    <w:rsid w:val="00814D92"/>
    <w:rsid w:val="0083181D"/>
    <w:rsid w:val="00843EB2"/>
    <w:rsid w:val="0085250B"/>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E1700"/>
    <w:rsid w:val="00B10265"/>
    <w:rsid w:val="00B16A99"/>
    <w:rsid w:val="00B21211"/>
    <w:rsid w:val="00B35784"/>
    <w:rsid w:val="00B733A7"/>
    <w:rsid w:val="00B75C91"/>
    <w:rsid w:val="00B975AD"/>
    <w:rsid w:val="00BC45FB"/>
    <w:rsid w:val="00BF148D"/>
    <w:rsid w:val="00C21AB0"/>
    <w:rsid w:val="00C23B1A"/>
    <w:rsid w:val="00C310EB"/>
    <w:rsid w:val="00C9176A"/>
    <w:rsid w:val="00CF1AA2"/>
    <w:rsid w:val="00D17774"/>
    <w:rsid w:val="00D63620"/>
    <w:rsid w:val="00D8410D"/>
    <w:rsid w:val="00D867D7"/>
    <w:rsid w:val="00DB7060"/>
    <w:rsid w:val="00DC06E2"/>
    <w:rsid w:val="00DE3153"/>
    <w:rsid w:val="00E06736"/>
    <w:rsid w:val="00E13C27"/>
    <w:rsid w:val="00E25A9C"/>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default">
    <w:name w:val="default"/>
    <w:basedOn w:val="a0"/>
    <w:rsid w:val="0085250B"/>
  </w:style>
  <w:style w:type="character" w:customStyle="1" w:styleId="a5">
    <w:name w:val="טקסט הערת שוליים תו"/>
    <w:basedOn w:val="a0"/>
    <w:link w:val="a4"/>
    <w:semiHidden/>
    <w:rsid w:val="0085250B"/>
    <w:rPr>
      <w:rFonts w:ascii="Arial" w:eastAsia="Arial Unicode MS" w:hAnsi="Arial" w:cs="David"/>
      <w:snapToGrid w:val="0"/>
      <w:color w:val="000000"/>
      <w:sz w:val="14"/>
      <w:lang w:eastAsia="ja-JP"/>
    </w:rPr>
  </w:style>
  <w:style w:type="paragraph" w:customStyle="1" w:styleId="P00">
    <w:name w:val="P00"/>
    <w:rsid w:val="0024743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big-number">
    <w:name w:val="big-number"/>
    <w:basedOn w:val="default"/>
    <w:rsid w:val="00247434"/>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82CCCF-E00A-4B52-BA19-86C635C6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33EC5982-47C0-4236-9B0C-5D944209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450</Words>
  <Characters>2250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10</cp:revision>
  <cp:lastPrinted>2017-11-23T09:32:00Z</cp:lastPrinted>
  <dcterms:created xsi:type="dcterms:W3CDTF">2015-04-20T09:58:00Z</dcterms:created>
  <dcterms:modified xsi:type="dcterms:W3CDTF">2017-11-23T09:32:00Z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2023360</vt:r8>
  </property>
</Properties>
</file>