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00131B" w:rsidRDefault="004033D8" w:rsidP="00A443CF">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2021837</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7F6961A3" w14:textId="77777777" w:rsidR="00E13C27" w:rsidRPr="00F67051" w:rsidRDefault="00E13C27" w:rsidP="00E13C27">
      <w:pPr>
        <w:rPr>
          <w:rFonts w:cs="David"/>
          <w:b/>
          <w:bCs/>
          <w:sz w:val="26"/>
          <w:szCs w:val="26"/>
          <w:rtl/>
        </w:rPr>
      </w:pPr>
    </w:p>
    <w:p w14:paraId="7F6961A6" w14:textId="77777777" w:rsidR="00E13C27" w:rsidRDefault="008F6665" w:rsidP="00930EFE">
      <w:pPr>
        <w:pStyle w:val="David"/>
        <w:spacing w:line="360" w:lineRule="auto"/>
        <w:ind w:left="3544"/>
        <w:rPr>
          <w:b/>
          <w:bCs/>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יעל גרמן</w:t>
      </w:r>
      <w:r>
        <w:br/>
      </w:r>
      <w:r>
        <w:rPr>
          <w:rFonts w:hint="cs"/>
          <w:b/>
          <w:bCs/>
          <w:rtl/>
        </w:rPr>
        <w:t xml:space="preserve"> </w:t>
      </w:r>
      <w:r>
        <w:tab/>
      </w:r>
      <w:r>
        <w:tab/>
      </w:r>
      <w:r>
        <w:tab/>
      </w:r>
      <w:r>
        <w:tab/>
      </w:r>
      <w:r>
        <w:rPr>
          <w:rFonts w:hint="cs"/>
          <w:b/>
          <w:bCs/>
          <w:rtl/>
        </w:rPr>
        <w:t>קארין אלהרר</w:t>
      </w:r>
      <w:r>
        <w:br/>
      </w:r>
      <w:r>
        <w:rPr>
          <w:rFonts w:hint="cs"/>
          <w:b/>
          <w:bCs/>
          <w:rtl/>
        </w:rPr>
        <w:t xml:space="preserve"> </w:t>
      </w:r>
      <w:r>
        <w:tab/>
      </w:r>
      <w:r>
        <w:tab/>
      </w:r>
      <w:r>
        <w:tab/>
      </w:r>
      <w:r>
        <w:tab/>
      </w:r>
      <w:r>
        <w:rPr>
          <w:rFonts w:hint="cs"/>
          <w:b/>
          <w:bCs/>
          <w:rtl/>
        </w:rPr>
        <w:t>יואל רזבוזוב</w:t>
      </w:r>
      <w:bookmarkEnd w:id="3"/>
    </w:p>
    <w:p w14:paraId="7F6961AA" w14:textId="39F9D96B" w:rsidR="00E13C27" w:rsidRPr="00CF1AA2" w:rsidRDefault="007D585A" w:rsidP="0036422C">
      <w:pPr>
        <w:pStyle w:val="David"/>
        <w:spacing w:before="0" w:line="360" w:lineRule="auto"/>
        <w:ind w:left="3544"/>
        <w:rPr>
          <w:b/>
          <w:bCs/>
          <w:sz w:val="16"/>
          <w:szCs w:val="16"/>
          <w:rtl/>
        </w:rPr>
      </w:pPr>
      <w:bookmarkStart w:id="4" w:name="LGS_Join_List"/>
      <w:r>
        <w:rPr>
          <w:rtl/>
        </w:rPr>
        <w:t xml:space="preserve"> </w:t>
      </w:r>
      <w:bookmarkEnd w:id="4"/>
      <w:r w:rsidR="002200A1" w:rsidRPr="00CF1AA2">
        <w:rPr>
          <w:rFonts w:hint="cs"/>
          <w:rtl/>
        </w:rPr>
        <w:tab/>
      </w:r>
      <w:bookmarkStart w:id="5" w:name="LGS_PM_NamesJoin"/>
      <w:r>
        <w:rPr>
          <w:rFonts w:hint="cs"/>
          <w:rtl/>
        </w:rPr>
        <w:t xml:space="preserve"> </w:t>
      </w:r>
      <w:bookmarkEnd w:id="5"/>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256138AA" w:rsidR="00E13C27" w:rsidRPr="00E06736" w:rsidRDefault="00904591" w:rsidP="00904591">
      <w:pPr>
        <w:pStyle w:val="David"/>
        <w:spacing w:before="0" w:line="240" w:lineRule="auto"/>
        <w:ind w:left="3544"/>
        <w:rPr>
          <w:rtl/>
        </w:rPr>
      </w:pPr>
      <w:r>
        <w:t xml:space="preserve">                                            </w:t>
      </w:r>
      <w:r w:rsidR="008F1308">
        <w:t xml:space="preserve"> </w:t>
      </w:r>
      <w:bookmarkStart w:id="6" w:name="Private_Number"/>
      <w:r>
        <w:rPr>
          <w:rFonts w:hint="cs"/>
          <w:rtl/>
        </w:rPr>
        <w:t>פ/4676/20</w:t>
      </w:r>
      <w:bookmarkEnd w:id="6"/>
    </w:p>
    <w:p w14:paraId="7F6961AC" w14:textId="77777777" w:rsidR="00E13C27" w:rsidRDefault="00E13C27" w:rsidP="00E13C27">
      <w:pPr>
        <w:spacing w:before="0" w:line="360" w:lineRule="auto"/>
        <w:ind w:left="2880" w:firstLine="720"/>
        <w:rPr>
          <w:rFonts w:cs="David"/>
          <w:sz w:val="26"/>
          <w:szCs w:val="26"/>
          <w:rtl/>
        </w:rPr>
      </w:pPr>
    </w:p>
    <w:p w14:paraId="495E7D13" w14:textId="53C5CF10" w:rsidR="00CC44B4" w:rsidRDefault="00CC44B4" w:rsidP="00CC44B4">
      <w:pPr>
        <w:pStyle w:val="HeadHatzaotHok"/>
        <w:rPr>
          <w:rtl/>
        </w:rPr>
      </w:pPr>
      <w:r>
        <w:rPr>
          <w:rFonts w:hint="cs"/>
          <w:rtl/>
        </w:rPr>
        <w:t>הצעת חוק הפעלת תחבורה ציבורית מצומצמת ביום המנוחה השבועי, התשע"ח–2017</w:t>
      </w:r>
    </w:p>
    <w:p w14:paraId="48F12E79" w14:textId="77777777" w:rsidR="00CC44B4" w:rsidRPr="00F67051" w:rsidRDefault="00CC44B4" w:rsidP="00CC44B4">
      <w:pPr>
        <w:pStyle w:val="HeadHatzaotHok"/>
        <w:rPr>
          <w:rtl/>
        </w:rPr>
      </w:pPr>
    </w:p>
    <w:tbl>
      <w:tblPr>
        <w:bidiVisual/>
        <w:tblW w:w="9638" w:type="dxa"/>
        <w:tblInd w:w="1" w:type="dxa"/>
        <w:tblLayout w:type="fixed"/>
        <w:tblCellMar>
          <w:top w:w="57" w:type="dxa"/>
          <w:left w:w="0" w:type="dxa"/>
          <w:bottom w:w="57" w:type="dxa"/>
          <w:right w:w="0" w:type="dxa"/>
        </w:tblCellMar>
        <w:tblLook w:val="0000" w:firstRow="0" w:lastRow="0" w:firstColumn="0" w:lastColumn="0" w:noHBand="0" w:noVBand="0"/>
      </w:tblPr>
      <w:tblGrid>
        <w:gridCol w:w="1871"/>
        <w:gridCol w:w="624"/>
        <w:gridCol w:w="7143"/>
      </w:tblGrid>
      <w:tr w:rsidR="00CC44B4" w14:paraId="4F27B910" w14:textId="77777777" w:rsidTr="00EB0494">
        <w:trPr>
          <w:cantSplit/>
        </w:trPr>
        <w:tc>
          <w:tcPr>
            <w:tcW w:w="1871" w:type="dxa"/>
          </w:tcPr>
          <w:p w14:paraId="6790B95D" w14:textId="77777777" w:rsidR="00CC44B4" w:rsidRDefault="00CC44B4" w:rsidP="00EB0494">
            <w:pPr>
              <w:pStyle w:val="TableSideHeading"/>
              <w:rPr>
                <w:sz w:val="26"/>
                <w:rtl/>
              </w:rPr>
            </w:pPr>
            <w:r>
              <w:rPr>
                <w:rFonts w:hint="cs"/>
                <w:sz w:val="26"/>
                <w:rtl/>
              </w:rPr>
              <w:t>מטרה</w:t>
            </w:r>
          </w:p>
        </w:tc>
        <w:tc>
          <w:tcPr>
            <w:tcW w:w="624" w:type="dxa"/>
          </w:tcPr>
          <w:p w14:paraId="362403B8" w14:textId="77777777" w:rsidR="00CC44B4" w:rsidRDefault="00CC44B4" w:rsidP="00EB0494">
            <w:pPr>
              <w:pStyle w:val="TableText"/>
              <w:rPr>
                <w:sz w:val="26"/>
                <w:rtl/>
              </w:rPr>
            </w:pPr>
            <w:r>
              <w:rPr>
                <w:rFonts w:hint="cs"/>
                <w:sz w:val="26"/>
                <w:rtl/>
              </w:rPr>
              <w:t>1.</w:t>
            </w:r>
          </w:p>
        </w:tc>
        <w:tc>
          <w:tcPr>
            <w:tcW w:w="7143" w:type="dxa"/>
          </w:tcPr>
          <w:p w14:paraId="1EAF8901" w14:textId="77777777" w:rsidR="00CC44B4" w:rsidRPr="00292D9D" w:rsidRDefault="00CC44B4" w:rsidP="00EB0494">
            <w:pPr>
              <w:pStyle w:val="TableBlock"/>
              <w:rPr>
                <w:rtl/>
              </w:rPr>
            </w:pPr>
            <w:r w:rsidRPr="00292D9D">
              <w:rPr>
                <w:rFonts w:hint="cs"/>
                <w:rtl/>
              </w:rPr>
              <w:t xml:space="preserve">מטרתו של חוק זה לקבוע את העקרונות להפעלת תחבורה ציבורית ביום המנוחה השבועי בתחומי הרשויות המקומיות אשר </w:t>
            </w:r>
            <w:r>
              <w:rPr>
                <w:rFonts w:hint="cs"/>
                <w:rtl/>
              </w:rPr>
              <w:t>יחליטו</w:t>
            </w:r>
            <w:r w:rsidRPr="00292D9D">
              <w:rPr>
                <w:rFonts w:hint="cs"/>
                <w:rtl/>
              </w:rPr>
              <w:t xml:space="preserve"> על כך, </w:t>
            </w:r>
            <w:r>
              <w:rPr>
                <w:rFonts w:hint="cs"/>
                <w:rtl/>
              </w:rPr>
              <w:t>בהתחשב</w:t>
            </w:r>
            <w:r w:rsidRPr="00292D9D">
              <w:rPr>
                <w:rFonts w:hint="cs"/>
                <w:rtl/>
              </w:rPr>
              <w:t xml:space="preserve"> </w:t>
            </w:r>
            <w:r>
              <w:rPr>
                <w:rFonts w:hint="cs"/>
                <w:rtl/>
              </w:rPr>
              <w:t>ב</w:t>
            </w:r>
            <w:r w:rsidRPr="00292D9D">
              <w:rPr>
                <w:rFonts w:hint="cs"/>
                <w:rtl/>
              </w:rPr>
              <w:t>אופייה השונה של כל רשות מקומית ו</w:t>
            </w:r>
            <w:r>
              <w:rPr>
                <w:rFonts w:hint="cs"/>
                <w:rtl/>
              </w:rPr>
              <w:t>ב</w:t>
            </w:r>
            <w:r w:rsidRPr="00292D9D">
              <w:rPr>
                <w:rFonts w:hint="cs"/>
                <w:rtl/>
              </w:rPr>
              <w:t>מגוון האוכלוסייה המתגוררת בשטחה.</w:t>
            </w:r>
          </w:p>
        </w:tc>
      </w:tr>
      <w:tr w:rsidR="00CC44B4" w14:paraId="2EDBF060" w14:textId="77777777" w:rsidTr="00EB0494">
        <w:trPr>
          <w:cantSplit/>
        </w:trPr>
        <w:tc>
          <w:tcPr>
            <w:tcW w:w="1871" w:type="dxa"/>
          </w:tcPr>
          <w:p w14:paraId="41F38283" w14:textId="77777777" w:rsidR="00CC44B4" w:rsidRDefault="00CC44B4" w:rsidP="00EB0494">
            <w:pPr>
              <w:pStyle w:val="TableSideHeading"/>
            </w:pPr>
            <w:r>
              <w:rPr>
                <w:sz w:val="26"/>
                <w:rtl/>
              </w:rPr>
              <w:t>הגדרות</w:t>
            </w:r>
          </w:p>
        </w:tc>
        <w:tc>
          <w:tcPr>
            <w:tcW w:w="624" w:type="dxa"/>
          </w:tcPr>
          <w:p w14:paraId="35E2C46A" w14:textId="77777777" w:rsidR="00CC44B4" w:rsidRDefault="00CC44B4" w:rsidP="00EB0494">
            <w:pPr>
              <w:pStyle w:val="TableText"/>
            </w:pPr>
            <w:r>
              <w:rPr>
                <w:rFonts w:hint="cs"/>
                <w:sz w:val="26"/>
                <w:rtl/>
              </w:rPr>
              <w:t>2</w:t>
            </w:r>
            <w:r>
              <w:rPr>
                <w:sz w:val="26"/>
                <w:rtl/>
              </w:rPr>
              <w:t>.</w:t>
            </w:r>
          </w:p>
        </w:tc>
        <w:tc>
          <w:tcPr>
            <w:tcW w:w="7143" w:type="dxa"/>
          </w:tcPr>
          <w:p w14:paraId="5795F4C4" w14:textId="77777777" w:rsidR="00CC44B4" w:rsidRPr="00292D9D" w:rsidRDefault="00CC44B4" w:rsidP="00EB0494">
            <w:pPr>
              <w:pStyle w:val="TableBlock"/>
            </w:pPr>
            <w:r w:rsidRPr="00292D9D">
              <w:rPr>
                <w:rtl/>
              </w:rPr>
              <w:t>בחוק זה –</w:t>
            </w:r>
          </w:p>
        </w:tc>
      </w:tr>
      <w:tr w:rsidR="00CC44B4" w14:paraId="34BC3EE1" w14:textId="77777777" w:rsidTr="00EB0494">
        <w:trPr>
          <w:cantSplit/>
        </w:trPr>
        <w:tc>
          <w:tcPr>
            <w:tcW w:w="1871" w:type="dxa"/>
          </w:tcPr>
          <w:p w14:paraId="46A15F4D" w14:textId="77777777" w:rsidR="00CC44B4" w:rsidRPr="008C0E8C" w:rsidRDefault="00CC44B4" w:rsidP="00EB0494">
            <w:pPr>
              <w:pStyle w:val="TableSideHeading"/>
              <w:rPr>
                <w:sz w:val="26"/>
                <w:rtl/>
              </w:rPr>
            </w:pPr>
          </w:p>
        </w:tc>
        <w:tc>
          <w:tcPr>
            <w:tcW w:w="624" w:type="dxa"/>
          </w:tcPr>
          <w:p w14:paraId="37D1F14D" w14:textId="77777777" w:rsidR="00CC44B4" w:rsidRPr="008C0E8C" w:rsidRDefault="00CC44B4" w:rsidP="00EB0494">
            <w:pPr>
              <w:pStyle w:val="TableText"/>
              <w:rPr>
                <w:sz w:val="26"/>
                <w:rtl/>
              </w:rPr>
            </w:pPr>
          </w:p>
        </w:tc>
        <w:tc>
          <w:tcPr>
            <w:tcW w:w="7143" w:type="dxa"/>
          </w:tcPr>
          <w:p w14:paraId="0C22F922" w14:textId="77777777" w:rsidR="00CC44B4" w:rsidRPr="00292D9D" w:rsidRDefault="00CC44B4" w:rsidP="00EB0494">
            <w:pPr>
              <w:pStyle w:val="TableBlockOutdent"/>
              <w:rPr>
                <w:rtl/>
              </w:rPr>
            </w:pPr>
            <w:r w:rsidRPr="00292D9D">
              <w:rPr>
                <w:rtl/>
              </w:rPr>
              <w:t>"יום המנוחה השבועי" – פרק זמן אשר מתחיל עם שקיעת החמה ביום שישי ומסתיים עם שקיעת החמה ביום שבת;</w:t>
            </w:r>
          </w:p>
        </w:tc>
      </w:tr>
      <w:tr w:rsidR="00CC44B4" w14:paraId="2444A82F" w14:textId="77777777" w:rsidTr="00EB0494">
        <w:trPr>
          <w:cantSplit/>
        </w:trPr>
        <w:tc>
          <w:tcPr>
            <w:tcW w:w="1871" w:type="dxa"/>
          </w:tcPr>
          <w:p w14:paraId="34C51A0D" w14:textId="77777777" w:rsidR="00CC44B4" w:rsidRPr="008C0E8C" w:rsidRDefault="00CC44B4" w:rsidP="00EB0494">
            <w:pPr>
              <w:pStyle w:val="TableSideHeading"/>
              <w:rPr>
                <w:sz w:val="26"/>
                <w:rtl/>
              </w:rPr>
            </w:pPr>
          </w:p>
        </w:tc>
        <w:tc>
          <w:tcPr>
            <w:tcW w:w="624" w:type="dxa"/>
          </w:tcPr>
          <w:p w14:paraId="0885362C" w14:textId="77777777" w:rsidR="00CC44B4" w:rsidRPr="008C0E8C" w:rsidRDefault="00CC44B4" w:rsidP="00EB0494">
            <w:pPr>
              <w:pStyle w:val="TableText"/>
              <w:rPr>
                <w:sz w:val="26"/>
                <w:rtl/>
              </w:rPr>
            </w:pPr>
          </w:p>
        </w:tc>
        <w:tc>
          <w:tcPr>
            <w:tcW w:w="7143" w:type="dxa"/>
          </w:tcPr>
          <w:p w14:paraId="797BFA77" w14:textId="77777777" w:rsidR="00CC44B4" w:rsidRPr="00292D9D" w:rsidRDefault="00CC44B4" w:rsidP="00EB0494">
            <w:pPr>
              <w:pStyle w:val="TableBlockOutdent"/>
              <w:rPr>
                <w:rtl/>
              </w:rPr>
            </w:pPr>
            <w:r w:rsidRPr="000372F4">
              <w:rPr>
                <w:rtl/>
              </w:rPr>
              <w:t>"מיניבוס" –</w:t>
            </w:r>
            <w:r>
              <w:rPr>
                <w:rFonts w:hint="cs"/>
                <w:rtl/>
              </w:rPr>
              <w:t xml:space="preserve"> </w:t>
            </w:r>
            <w:r w:rsidRPr="000372F4">
              <w:rPr>
                <w:rFonts w:hint="eastAsia"/>
                <w:rtl/>
              </w:rPr>
              <w:t>רכב</w:t>
            </w:r>
            <w:r w:rsidRPr="000372F4">
              <w:rPr>
                <w:rtl/>
              </w:rPr>
              <w:t xml:space="preserve"> </w:t>
            </w:r>
            <w:r w:rsidRPr="000372F4">
              <w:rPr>
                <w:rFonts w:hint="eastAsia"/>
                <w:rtl/>
              </w:rPr>
              <w:t>ציבורי</w:t>
            </w:r>
            <w:r w:rsidRPr="000372F4">
              <w:rPr>
                <w:rtl/>
              </w:rPr>
              <w:t xml:space="preserve">, </w:t>
            </w:r>
            <w:r w:rsidRPr="000372F4">
              <w:rPr>
                <w:rFonts w:hint="eastAsia"/>
                <w:rtl/>
              </w:rPr>
              <w:t>כהגדרתו</w:t>
            </w:r>
            <w:r w:rsidRPr="000372F4">
              <w:rPr>
                <w:rtl/>
              </w:rPr>
              <w:t xml:space="preserve"> </w:t>
            </w:r>
            <w:r w:rsidRPr="000372F4">
              <w:rPr>
                <w:rFonts w:hint="eastAsia"/>
                <w:rtl/>
              </w:rPr>
              <w:t>בפקודת</w:t>
            </w:r>
            <w:r w:rsidRPr="000372F4">
              <w:rPr>
                <w:rtl/>
              </w:rPr>
              <w:t xml:space="preserve"> </w:t>
            </w:r>
            <w:r w:rsidRPr="000372F4">
              <w:rPr>
                <w:rFonts w:hint="eastAsia"/>
                <w:rtl/>
              </w:rPr>
              <w:t>התעבורה</w:t>
            </w:r>
            <w:r w:rsidRPr="00E50AF3">
              <w:rPr>
                <w:rStyle w:val="a5"/>
                <w:rtl/>
              </w:rPr>
              <w:footnoteReference w:id="2"/>
            </w:r>
            <w:r w:rsidRPr="00E50AF3">
              <w:rPr>
                <w:rtl/>
              </w:rPr>
              <w:t xml:space="preserve"> (להלן – הפקודה)</w:t>
            </w:r>
            <w:r>
              <w:rPr>
                <w:rFonts w:hint="cs"/>
                <w:rtl/>
              </w:rPr>
              <w:t>, שהוא</w:t>
            </w:r>
            <w:r w:rsidRPr="000372F4">
              <w:rPr>
                <w:rtl/>
              </w:rPr>
              <w:t xml:space="preserve"> </w:t>
            </w:r>
            <w:r w:rsidRPr="00B064C6">
              <w:rPr>
                <w:rFonts w:hint="eastAsia"/>
                <w:rtl/>
              </w:rPr>
              <w:t>אוטובוס</w:t>
            </w:r>
            <w:r w:rsidRPr="00B064C6">
              <w:rPr>
                <w:rtl/>
              </w:rPr>
              <w:t xml:space="preserve"> זעיר, </w:t>
            </w:r>
            <w:r w:rsidRPr="00B064C6">
              <w:rPr>
                <w:rFonts w:hint="eastAsia"/>
                <w:rtl/>
              </w:rPr>
              <w:t>כהגדרתו</w:t>
            </w:r>
            <w:r w:rsidRPr="00B064C6">
              <w:rPr>
                <w:rtl/>
              </w:rPr>
              <w:t xml:space="preserve"> </w:t>
            </w:r>
            <w:r w:rsidRPr="00B064C6">
              <w:rPr>
                <w:rFonts w:hint="eastAsia"/>
                <w:rtl/>
              </w:rPr>
              <w:t>בתקנות</w:t>
            </w:r>
            <w:r w:rsidRPr="00B064C6">
              <w:rPr>
                <w:rtl/>
              </w:rPr>
              <w:t xml:space="preserve"> </w:t>
            </w:r>
            <w:r w:rsidRPr="00B064C6">
              <w:rPr>
                <w:rFonts w:hint="eastAsia"/>
                <w:rtl/>
              </w:rPr>
              <w:t>התעבורה</w:t>
            </w:r>
            <w:r w:rsidRPr="00B064C6">
              <w:rPr>
                <w:rtl/>
              </w:rPr>
              <w:t>,</w:t>
            </w:r>
            <w:r w:rsidRPr="00B064C6">
              <w:rPr>
                <w:sz w:val="26"/>
                <w:rtl/>
              </w:rPr>
              <w:t xml:space="preserve"> </w:t>
            </w:r>
            <w:r w:rsidRPr="00B064C6">
              <w:rPr>
                <w:rFonts w:hint="eastAsia"/>
                <w:sz w:val="26"/>
                <w:rtl/>
              </w:rPr>
              <w:t>התשכ</w:t>
            </w:r>
            <w:r w:rsidRPr="00B064C6">
              <w:rPr>
                <w:sz w:val="26"/>
                <w:rtl/>
              </w:rPr>
              <w:t>"א</w:t>
            </w:r>
            <w:r w:rsidRPr="00B064C6">
              <w:rPr>
                <w:rFonts w:hint="eastAsia"/>
                <w:sz w:val="26"/>
                <w:rtl/>
              </w:rPr>
              <w:t>–</w:t>
            </w:r>
            <w:r w:rsidRPr="00B064C6">
              <w:rPr>
                <w:sz w:val="26"/>
                <w:rtl/>
              </w:rPr>
              <w:t>1961</w:t>
            </w:r>
            <w:r w:rsidRPr="00B064C6">
              <w:rPr>
                <w:rStyle w:val="a5"/>
                <w:sz w:val="26"/>
                <w:rtl/>
              </w:rPr>
              <w:footnoteReference w:id="3"/>
            </w:r>
            <w:r w:rsidRPr="00B064C6">
              <w:rPr>
                <w:rtl/>
              </w:rPr>
              <w:t xml:space="preserve"> (להלן </w:t>
            </w:r>
            <w:r w:rsidRPr="00B064C6">
              <w:rPr>
                <w:rFonts w:hint="eastAsia"/>
                <w:rtl/>
              </w:rPr>
              <w:t>–</w:t>
            </w:r>
            <w:r>
              <w:rPr>
                <w:rFonts w:hint="cs"/>
                <w:rtl/>
              </w:rPr>
              <w:t xml:space="preserve"> </w:t>
            </w:r>
            <w:r w:rsidRPr="00B064C6">
              <w:rPr>
                <w:rFonts w:hint="eastAsia"/>
                <w:rtl/>
              </w:rPr>
              <w:t>תקנות</w:t>
            </w:r>
            <w:r w:rsidRPr="00B064C6">
              <w:rPr>
                <w:rtl/>
              </w:rPr>
              <w:t xml:space="preserve"> </w:t>
            </w:r>
            <w:r w:rsidRPr="00B064C6">
              <w:rPr>
                <w:rFonts w:hint="eastAsia"/>
                <w:rtl/>
              </w:rPr>
              <w:t>התעבורה</w:t>
            </w:r>
            <w:r w:rsidRPr="00B064C6">
              <w:rPr>
                <w:rtl/>
              </w:rPr>
              <w:t>)</w:t>
            </w:r>
            <w:r>
              <w:rPr>
                <w:rFonts w:hint="cs"/>
                <w:rtl/>
              </w:rPr>
              <w:t>;</w:t>
            </w:r>
          </w:p>
        </w:tc>
      </w:tr>
      <w:tr w:rsidR="00CC44B4" w:rsidRPr="000F2E77" w14:paraId="2EB36337" w14:textId="77777777" w:rsidTr="00EB0494">
        <w:trPr>
          <w:cantSplit/>
        </w:trPr>
        <w:tc>
          <w:tcPr>
            <w:tcW w:w="1871" w:type="dxa"/>
          </w:tcPr>
          <w:p w14:paraId="78F4DDC6" w14:textId="77777777" w:rsidR="00CC44B4" w:rsidRDefault="00CC44B4" w:rsidP="00EB0494">
            <w:pPr>
              <w:pStyle w:val="TableSideHeading"/>
              <w:rPr>
                <w:sz w:val="26"/>
                <w:rtl/>
              </w:rPr>
            </w:pPr>
          </w:p>
        </w:tc>
        <w:tc>
          <w:tcPr>
            <w:tcW w:w="624" w:type="dxa"/>
          </w:tcPr>
          <w:p w14:paraId="64ECF8CD" w14:textId="77777777" w:rsidR="00CC44B4" w:rsidRDefault="00CC44B4" w:rsidP="00EB0494">
            <w:pPr>
              <w:pStyle w:val="TableText"/>
              <w:rPr>
                <w:sz w:val="26"/>
                <w:rtl/>
              </w:rPr>
            </w:pPr>
          </w:p>
        </w:tc>
        <w:tc>
          <w:tcPr>
            <w:tcW w:w="7143" w:type="dxa"/>
          </w:tcPr>
          <w:p w14:paraId="7211C4AF" w14:textId="77777777" w:rsidR="00CC44B4" w:rsidRPr="00292D9D" w:rsidRDefault="00CC44B4" w:rsidP="00EB0494">
            <w:pPr>
              <w:pStyle w:val="TableBlockOutdent"/>
              <w:rPr>
                <w:rtl/>
              </w:rPr>
            </w:pPr>
            <w:r w:rsidRPr="00292D9D">
              <w:rPr>
                <w:rtl/>
              </w:rPr>
              <w:t xml:space="preserve">"קו שירות" – </w:t>
            </w:r>
            <w:r>
              <w:rPr>
                <w:rFonts w:hint="cs"/>
                <w:rtl/>
              </w:rPr>
              <w:t xml:space="preserve"> </w:t>
            </w:r>
            <w:r w:rsidRPr="00292D9D">
              <w:rPr>
                <w:rtl/>
              </w:rPr>
              <w:t xml:space="preserve">כהגדרתו </w:t>
            </w:r>
            <w:r w:rsidRPr="00B064C6">
              <w:rPr>
                <w:rFonts w:hint="eastAsia"/>
                <w:rtl/>
              </w:rPr>
              <w:t>בפקוד</w:t>
            </w:r>
            <w:r>
              <w:rPr>
                <w:rFonts w:hint="cs"/>
                <w:rtl/>
              </w:rPr>
              <w:t>ה</w:t>
            </w:r>
            <w:r w:rsidRPr="00292D9D">
              <w:rPr>
                <w:rFonts w:hint="cs"/>
                <w:rtl/>
              </w:rPr>
              <w:t>;</w:t>
            </w:r>
          </w:p>
        </w:tc>
      </w:tr>
      <w:tr w:rsidR="00CC44B4" w:rsidRPr="000F2E77" w14:paraId="165E008B" w14:textId="77777777" w:rsidTr="00EB0494">
        <w:trPr>
          <w:cantSplit/>
        </w:trPr>
        <w:tc>
          <w:tcPr>
            <w:tcW w:w="1871" w:type="dxa"/>
          </w:tcPr>
          <w:p w14:paraId="32F1EF5A" w14:textId="77777777" w:rsidR="00CC44B4" w:rsidRDefault="00CC44B4" w:rsidP="00EB0494">
            <w:pPr>
              <w:pStyle w:val="TableSideHeading"/>
              <w:rPr>
                <w:sz w:val="26"/>
                <w:rtl/>
              </w:rPr>
            </w:pPr>
          </w:p>
        </w:tc>
        <w:tc>
          <w:tcPr>
            <w:tcW w:w="624" w:type="dxa"/>
          </w:tcPr>
          <w:p w14:paraId="06781648" w14:textId="77777777" w:rsidR="00CC44B4" w:rsidRDefault="00CC44B4" w:rsidP="00EB0494">
            <w:pPr>
              <w:pStyle w:val="TableText"/>
              <w:rPr>
                <w:sz w:val="26"/>
                <w:rtl/>
              </w:rPr>
            </w:pPr>
          </w:p>
        </w:tc>
        <w:tc>
          <w:tcPr>
            <w:tcW w:w="7143" w:type="dxa"/>
          </w:tcPr>
          <w:p w14:paraId="47FB7FAE" w14:textId="77777777" w:rsidR="00CC44B4" w:rsidRPr="00292D9D" w:rsidRDefault="00CC44B4" w:rsidP="00EB0494">
            <w:pPr>
              <w:pStyle w:val="TableBlockOutdent"/>
              <w:rPr>
                <w:rtl/>
              </w:rPr>
            </w:pPr>
            <w:r w:rsidRPr="000372F4">
              <w:rPr>
                <w:rtl/>
              </w:rPr>
              <w:t>"רישיון" – רישיון שניתן להפעלת קו שירות שניתן לפי חלק ה' לתקנות התעבורה;</w:t>
            </w:r>
          </w:p>
        </w:tc>
      </w:tr>
      <w:tr w:rsidR="00CC44B4" w:rsidRPr="000F2E77" w14:paraId="1FA67EEE" w14:textId="77777777" w:rsidTr="00EB0494">
        <w:trPr>
          <w:cantSplit/>
        </w:trPr>
        <w:tc>
          <w:tcPr>
            <w:tcW w:w="1871" w:type="dxa"/>
          </w:tcPr>
          <w:p w14:paraId="2F478F2B" w14:textId="77777777" w:rsidR="00CC44B4" w:rsidRPr="0054044B" w:rsidRDefault="00CC44B4" w:rsidP="00EB0494">
            <w:pPr>
              <w:pStyle w:val="TableSideHeading"/>
              <w:rPr>
                <w:sz w:val="26"/>
                <w:rtl/>
              </w:rPr>
            </w:pPr>
          </w:p>
        </w:tc>
        <w:tc>
          <w:tcPr>
            <w:tcW w:w="624" w:type="dxa"/>
          </w:tcPr>
          <w:p w14:paraId="674C20B6" w14:textId="77777777" w:rsidR="00CC44B4" w:rsidRPr="0054044B" w:rsidRDefault="00CC44B4" w:rsidP="00EB0494">
            <w:pPr>
              <w:pStyle w:val="TableText"/>
              <w:rPr>
                <w:sz w:val="26"/>
                <w:rtl/>
              </w:rPr>
            </w:pPr>
          </w:p>
        </w:tc>
        <w:tc>
          <w:tcPr>
            <w:tcW w:w="7143" w:type="dxa"/>
          </w:tcPr>
          <w:p w14:paraId="6E8FD9E1" w14:textId="77777777" w:rsidR="00CC44B4" w:rsidRPr="00292D9D" w:rsidRDefault="00CC44B4" w:rsidP="00EB0494">
            <w:pPr>
              <w:pStyle w:val="TableBlockOutdent"/>
              <w:rPr>
                <w:rtl/>
              </w:rPr>
            </w:pPr>
            <w:r w:rsidRPr="00292D9D">
              <w:rPr>
                <w:rFonts w:hint="cs"/>
                <w:rtl/>
              </w:rPr>
              <w:t xml:space="preserve">"רשות מקומית" </w:t>
            </w:r>
            <w:r w:rsidRPr="00292D9D">
              <w:rPr>
                <w:rtl/>
              </w:rPr>
              <w:t>–</w:t>
            </w:r>
            <w:r>
              <w:rPr>
                <w:rFonts w:hint="cs"/>
                <w:rtl/>
              </w:rPr>
              <w:t xml:space="preserve">  </w:t>
            </w:r>
            <w:r w:rsidRPr="00292D9D">
              <w:rPr>
                <w:rFonts w:hint="cs"/>
                <w:rtl/>
              </w:rPr>
              <w:t xml:space="preserve">עירייה, מועצה מקומית ומועצה אזורית; </w:t>
            </w:r>
          </w:p>
        </w:tc>
      </w:tr>
      <w:tr w:rsidR="00CC44B4" w:rsidRPr="000F2E77" w14:paraId="51250486" w14:textId="77777777" w:rsidTr="00EB0494">
        <w:trPr>
          <w:cantSplit/>
        </w:trPr>
        <w:tc>
          <w:tcPr>
            <w:tcW w:w="1871" w:type="dxa"/>
          </w:tcPr>
          <w:p w14:paraId="51604368" w14:textId="77777777" w:rsidR="00CC44B4" w:rsidRPr="0054044B" w:rsidRDefault="00CC44B4" w:rsidP="00EB0494">
            <w:pPr>
              <w:pStyle w:val="TableSideHeading"/>
              <w:rPr>
                <w:sz w:val="26"/>
                <w:rtl/>
              </w:rPr>
            </w:pPr>
          </w:p>
        </w:tc>
        <w:tc>
          <w:tcPr>
            <w:tcW w:w="624" w:type="dxa"/>
          </w:tcPr>
          <w:p w14:paraId="7506C98A" w14:textId="77777777" w:rsidR="00CC44B4" w:rsidRPr="0054044B" w:rsidRDefault="00CC44B4" w:rsidP="00EB0494">
            <w:pPr>
              <w:pStyle w:val="TableText"/>
              <w:rPr>
                <w:sz w:val="26"/>
                <w:rtl/>
              </w:rPr>
            </w:pPr>
          </w:p>
        </w:tc>
        <w:tc>
          <w:tcPr>
            <w:tcW w:w="7143" w:type="dxa"/>
          </w:tcPr>
          <w:p w14:paraId="206EAE64" w14:textId="77777777" w:rsidR="00CC44B4" w:rsidRPr="00292D9D" w:rsidRDefault="00CC44B4" w:rsidP="00EB0494">
            <w:pPr>
              <w:pStyle w:val="TableBlockOutdent"/>
              <w:rPr>
                <w:rtl/>
              </w:rPr>
            </w:pPr>
            <w:r w:rsidRPr="00292D9D">
              <w:rPr>
                <w:rtl/>
              </w:rPr>
              <w:t xml:space="preserve">"שירותי תחבורה ציבורית" – </w:t>
            </w:r>
            <w:r w:rsidRPr="00292D9D">
              <w:rPr>
                <w:rFonts w:hint="cs"/>
                <w:rtl/>
              </w:rPr>
              <w:t>שירות נסיעות ברכב ציבורי הפועל בקו שירות</w:t>
            </w:r>
            <w:r>
              <w:rPr>
                <w:rFonts w:hint="cs"/>
                <w:rtl/>
              </w:rPr>
              <w:t>,</w:t>
            </w:r>
            <w:r w:rsidRPr="00292D9D">
              <w:rPr>
                <w:rFonts w:hint="cs"/>
                <w:rtl/>
              </w:rPr>
              <w:t xml:space="preserve"> שבו משלם כל נוסע בעד נסיעתו בנפרד;</w:t>
            </w:r>
          </w:p>
        </w:tc>
      </w:tr>
      <w:tr w:rsidR="00CC44B4" w:rsidRPr="000F2E77" w14:paraId="4642BB2A" w14:textId="77777777" w:rsidTr="00EB0494">
        <w:trPr>
          <w:cantSplit/>
        </w:trPr>
        <w:tc>
          <w:tcPr>
            <w:tcW w:w="1871" w:type="dxa"/>
          </w:tcPr>
          <w:p w14:paraId="142B6C7D" w14:textId="77777777" w:rsidR="00CC44B4" w:rsidRPr="0054044B" w:rsidRDefault="00CC44B4" w:rsidP="00EB0494">
            <w:pPr>
              <w:pStyle w:val="TableSideHeading"/>
              <w:rPr>
                <w:sz w:val="26"/>
                <w:rtl/>
              </w:rPr>
            </w:pPr>
          </w:p>
        </w:tc>
        <w:tc>
          <w:tcPr>
            <w:tcW w:w="624" w:type="dxa"/>
          </w:tcPr>
          <w:p w14:paraId="60EDA8C9" w14:textId="77777777" w:rsidR="00CC44B4" w:rsidRPr="0054044B" w:rsidRDefault="00CC44B4" w:rsidP="00EB0494">
            <w:pPr>
              <w:pStyle w:val="TableText"/>
              <w:rPr>
                <w:sz w:val="26"/>
                <w:rtl/>
              </w:rPr>
            </w:pPr>
          </w:p>
        </w:tc>
        <w:tc>
          <w:tcPr>
            <w:tcW w:w="7143" w:type="dxa"/>
          </w:tcPr>
          <w:p w14:paraId="18711BC3" w14:textId="77777777" w:rsidR="00CC44B4" w:rsidRPr="00292D9D" w:rsidRDefault="00CC44B4" w:rsidP="00EB0494">
            <w:pPr>
              <w:pStyle w:val="TableBlockOutdent"/>
              <w:rPr>
                <w:rtl/>
              </w:rPr>
            </w:pPr>
            <w:r w:rsidRPr="00292D9D">
              <w:rPr>
                <w:rFonts w:hint="cs"/>
                <w:rtl/>
              </w:rPr>
              <w:t xml:space="preserve">"השר" </w:t>
            </w:r>
            <w:r w:rsidRPr="00292D9D">
              <w:rPr>
                <w:rtl/>
              </w:rPr>
              <w:t>–</w:t>
            </w:r>
            <w:r w:rsidRPr="00292D9D">
              <w:rPr>
                <w:rFonts w:hint="cs"/>
                <w:rtl/>
              </w:rPr>
              <w:t xml:space="preserve"> שר התחבורה והבטיחות בדרכים.</w:t>
            </w:r>
          </w:p>
        </w:tc>
      </w:tr>
      <w:tr w:rsidR="00CC44B4" w:rsidRPr="000F2E77" w14:paraId="738B2416" w14:textId="77777777" w:rsidTr="00EB0494">
        <w:trPr>
          <w:cantSplit/>
        </w:trPr>
        <w:tc>
          <w:tcPr>
            <w:tcW w:w="1871" w:type="dxa"/>
          </w:tcPr>
          <w:p w14:paraId="0913245C" w14:textId="77777777" w:rsidR="00CC44B4" w:rsidRPr="000F2E77" w:rsidRDefault="00CC44B4" w:rsidP="00EB0494">
            <w:pPr>
              <w:pStyle w:val="TableSideHeading"/>
              <w:rPr>
                <w:sz w:val="26"/>
                <w:rtl/>
              </w:rPr>
            </w:pPr>
            <w:r>
              <w:rPr>
                <w:rFonts w:hint="cs"/>
                <w:sz w:val="26"/>
                <w:rtl/>
              </w:rPr>
              <w:lastRenderedPageBreak/>
              <w:t>הפעלת תחבורה ציבורית ביום המנוחה השבועי</w:t>
            </w:r>
          </w:p>
        </w:tc>
        <w:tc>
          <w:tcPr>
            <w:tcW w:w="624" w:type="dxa"/>
          </w:tcPr>
          <w:p w14:paraId="3E6698B1" w14:textId="77777777" w:rsidR="00CC44B4" w:rsidRPr="000F2E77" w:rsidRDefault="00CC44B4" w:rsidP="00EB0494">
            <w:pPr>
              <w:pStyle w:val="TableText"/>
              <w:rPr>
                <w:sz w:val="26"/>
                <w:rtl/>
              </w:rPr>
            </w:pPr>
            <w:r>
              <w:rPr>
                <w:rFonts w:hint="cs"/>
                <w:sz w:val="26"/>
                <w:rtl/>
              </w:rPr>
              <w:t>3.</w:t>
            </w:r>
          </w:p>
        </w:tc>
        <w:tc>
          <w:tcPr>
            <w:tcW w:w="7143" w:type="dxa"/>
          </w:tcPr>
          <w:p w14:paraId="00FC8BC8" w14:textId="77777777" w:rsidR="00CC44B4" w:rsidRPr="00292D9D" w:rsidRDefault="00CC44B4" w:rsidP="00EB0494">
            <w:pPr>
              <w:pStyle w:val="TableBlock"/>
              <w:rPr>
                <w:rtl/>
              </w:rPr>
            </w:pPr>
            <w:r w:rsidRPr="00292D9D">
              <w:rPr>
                <w:rFonts w:hint="cs"/>
                <w:rtl/>
              </w:rPr>
              <w:t>(א)</w:t>
            </w:r>
            <w:r>
              <w:rPr>
                <w:rtl/>
              </w:rPr>
              <w:tab/>
            </w:r>
            <w:r w:rsidRPr="00292D9D">
              <w:rPr>
                <w:rFonts w:hint="cs"/>
                <w:rtl/>
              </w:rPr>
              <w:t xml:space="preserve">על אף האמור בכל דין או הסכם, שירותי תחבורה ציבורית יופעלו גם ביום המנוחה השבועי באמצעות מיניבוסים, ברשות מקומית </w:t>
            </w:r>
            <w:r w:rsidRPr="00705378">
              <w:rPr>
                <w:rFonts w:hint="eastAsia"/>
                <w:rtl/>
              </w:rPr>
              <w:t>שבה</w:t>
            </w:r>
            <w:r w:rsidRPr="00705378">
              <w:rPr>
                <w:rtl/>
              </w:rPr>
              <w:t xml:space="preserve"> מועצת הרשות קיבלה החלטה על </w:t>
            </w:r>
            <w:r w:rsidRPr="00953303">
              <w:rPr>
                <w:rFonts w:hint="eastAsia"/>
                <w:rtl/>
              </w:rPr>
              <w:t>כך</w:t>
            </w:r>
            <w:r w:rsidRPr="00953303">
              <w:rPr>
                <w:rtl/>
              </w:rPr>
              <w:t xml:space="preserve"> (</w:t>
            </w:r>
            <w:r w:rsidRPr="00953303">
              <w:rPr>
                <w:rFonts w:hint="eastAsia"/>
                <w:rtl/>
              </w:rPr>
              <w:t>בחוק</w:t>
            </w:r>
            <w:r w:rsidRPr="00953303">
              <w:rPr>
                <w:rtl/>
              </w:rPr>
              <w:t xml:space="preserve"> </w:t>
            </w:r>
            <w:r w:rsidRPr="00953303">
              <w:rPr>
                <w:rFonts w:hint="eastAsia"/>
                <w:rtl/>
              </w:rPr>
              <w:t>זה</w:t>
            </w:r>
            <w:r w:rsidRPr="00953303">
              <w:rPr>
                <w:rtl/>
              </w:rPr>
              <w:t xml:space="preserve"> – החלטת הרשות).</w:t>
            </w:r>
          </w:p>
        </w:tc>
      </w:tr>
      <w:tr w:rsidR="00CC44B4" w:rsidRPr="000F2E77" w14:paraId="7FD9D1EE" w14:textId="77777777" w:rsidTr="00EB0494">
        <w:trPr>
          <w:cantSplit/>
        </w:trPr>
        <w:tc>
          <w:tcPr>
            <w:tcW w:w="1871" w:type="dxa"/>
          </w:tcPr>
          <w:p w14:paraId="3BF4552F" w14:textId="77777777" w:rsidR="00CC44B4" w:rsidDel="00EE69C6" w:rsidRDefault="00CC44B4" w:rsidP="00EB0494">
            <w:pPr>
              <w:pStyle w:val="TableSideHeading"/>
              <w:rPr>
                <w:sz w:val="26"/>
                <w:rtl/>
              </w:rPr>
            </w:pPr>
          </w:p>
        </w:tc>
        <w:tc>
          <w:tcPr>
            <w:tcW w:w="624" w:type="dxa"/>
          </w:tcPr>
          <w:p w14:paraId="2774AE63" w14:textId="77777777" w:rsidR="00CC44B4" w:rsidRDefault="00CC44B4" w:rsidP="00EB0494">
            <w:pPr>
              <w:pStyle w:val="TableText"/>
              <w:rPr>
                <w:rtl/>
              </w:rPr>
            </w:pPr>
          </w:p>
        </w:tc>
        <w:tc>
          <w:tcPr>
            <w:tcW w:w="7143" w:type="dxa"/>
          </w:tcPr>
          <w:p w14:paraId="4252DC4A" w14:textId="77777777" w:rsidR="00CC44B4" w:rsidRDefault="00CC44B4" w:rsidP="00EB0494">
            <w:pPr>
              <w:pStyle w:val="TableBlock"/>
              <w:rPr>
                <w:rtl/>
              </w:rPr>
            </w:pPr>
            <w:r w:rsidRPr="00705378">
              <w:rPr>
                <w:rtl/>
              </w:rPr>
              <w:t>(</w:t>
            </w:r>
            <w:r>
              <w:rPr>
                <w:rFonts w:hint="cs"/>
                <w:rtl/>
              </w:rPr>
              <w:t>ב</w:t>
            </w:r>
            <w:r w:rsidRPr="00705378">
              <w:rPr>
                <w:rtl/>
              </w:rPr>
              <w:t>)</w:t>
            </w:r>
            <w:r w:rsidRPr="00705378">
              <w:rPr>
                <w:rtl/>
              </w:rPr>
              <w:tab/>
            </w:r>
            <w:r w:rsidRPr="00705378">
              <w:rPr>
                <w:rFonts w:hint="eastAsia"/>
                <w:rtl/>
              </w:rPr>
              <w:t>החלטת</w:t>
            </w:r>
            <w:r w:rsidRPr="00705378">
              <w:rPr>
                <w:rtl/>
              </w:rPr>
              <w:t xml:space="preserve"> </w:t>
            </w:r>
            <w:r w:rsidRPr="00705378">
              <w:rPr>
                <w:rFonts w:hint="eastAsia"/>
                <w:rtl/>
              </w:rPr>
              <w:t>הרשות</w:t>
            </w:r>
            <w:r w:rsidRPr="00705378">
              <w:rPr>
                <w:rtl/>
              </w:rPr>
              <w:t xml:space="preserve"> </w:t>
            </w:r>
            <w:r w:rsidRPr="00705378">
              <w:rPr>
                <w:rFonts w:hint="eastAsia"/>
                <w:rtl/>
              </w:rPr>
              <w:t>תתקבל</w:t>
            </w:r>
            <w:r w:rsidRPr="00705378">
              <w:rPr>
                <w:rtl/>
              </w:rPr>
              <w:t xml:space="preserve"> </w:t>
            </w:r>
            <w:r w:rsidRPr="00705378">
              <w:rPr>
                <w:rFonts w:hint="eastAsia"/>
                <w:rtl/>
              </w:rPr>
              <w:t>תוך</w:t>
            </w:r>
            <w:r w:rsidRPr="00705378">
              <w:rPr>
                <w:rtl/>
              </w:rPr>
              <w:t xml:space="preserve"> </w:t>
            </w:r>
            <w:r w:rsidRPr="00705378">
              <w:rPr>
                <w:rFonts w:hint="eastAsia"/>
                <w:rtl/>
              </w:rPr>
              <w:t>התחשבות</w:t>
            </w:r>
            <w:r w:rsidRPr="00705378">
              <w:rPr>
                <w:rtl/>
              </w:rPr>
              <w:t xml:space="preserve"> </w:t>
            </w:r>
            <w:r w:rsidRPr="00705378">
              <w:rPr>
                <w:rFonts w:hint="eastAsia"/>
                <w:rtl/>
              </w:rPr>
              <w:t>בצורך</w:t>
            </w:r>
            <w:r w:rsidRPr="00705378">
              <w:rPr>
                <w:rtl/>
              </w:rPr>
              <w:t xml:space="preserve"> </w:t>
            </w:r>
            <w:r w:rsidRPr="00705378">
              <w:rPr>
                <w:rFonts w:hint="eastAsia"/>
                <w:rtl/>
              </w:rPr>
              <w:t>במניעת</w:t>
            </w:r>
            <w:r w:rsidRPr="00705378">
              <w:rPr>
                <w:rtl/>
              </w:rPr>
              <w:t xml:space="preserve"> </w:t>
            </w:r>
            <w:r w:rsidRPr="00705378">
              <w:rPr>
                <w:rFonts w:hint="eastAsia"/>
                <w:rtl/>
              </w:rPr>
              <w:t>מטרדי</w:t>
            </w:r>
            <w:r w:rsidRPr="00705378">
              <w:rPr>
                <w:rtl/>
              </w:rPr>
              <w:t xml:space="preserve"> </w:t>
            </w:r>
            <w:r w:rsidRPr="00705378">
              <w:rPr>
                <w:rFonts w:hint="eastAsia"/>
                <w:rtl/>
              </w:rPr>
              <w:t>רעש</w:t>
            </w:r>
            <w:r w:rsidRPr="00705378">
              <w:rPr>
                <w:rtl/>
              </w:rPr>
              <w:t xml:space="preserve"> </w:t>
            </w:r>
            <w:r w:rsidRPr="00705378">
              <w:rPr>
                <w:rFonts w:hint="eastAsia"/>
                <w:rtl/>
              </w:rPr>
              <w:t>וזיהום</w:t>
            </w:r>
            <w:r w:rsidRPr="00705378">
              <w:rPr>
                <w:rtl/>
              </w:rPr>
              <w:t xml:space="preserve"> </w:t>
            </w:r>
            <w:r w:rsidRPr="00705378">
              <w:rPr>
                <w:rFonts w:hint="eastAsia"/>
                <w:rtl/>
              </w:rPr>
              <w:t>או</w:t>
            </w:r>
            <w:r>
              <w:rPr>
                <w:rFonts w:hint="cs"/>
                <w:rtl/>
              </w:rPr>
              <w:t>ו</w:t>
            </w:r>
            <w:r w:rsidRPr="00705378">
              <w:rPr>
                <w:rFonts w:hint="eastAsia"/>
                <w:rtl/>
              </w:rPr>
              <w:t>יר</w:t>
            </w:r>
            <w:r w:rsidRPr="00705378">
              <w:rPr>
                <w:rtl/>
              </w:rPr>
              <w:t>.</w:t>
            </w:r>
          </w:p>
        </w:tc>
      </w:tr>
      <w:tr w:rsidR="00CC44B4" w:rsidRPr="000F2E77" w14:paraId="16B39F62" w14:textId="77777777" w:rsidTr="00EB0494">
        <w:trPr>
          <w:cantSplit/>
        </w:trPr>
        <w:tc>
          <w:tcPr>
            <w:tcW w:w="1871" w:type="dxa"/>
          </w:tcPr>
          <w:p w14:paraId="62578980" w14:textId="77777777" w:rsidR="00CC44B4" w:rsidRDefault="00CC44B4" w:rsidP="00EB0494">
            <w:pPr>
              <w:pStyle w:val="TableSideHeading"/>
              <w:rPr>
                <w:sz w:val="26"/>
                <w:rtl/>
              </w:rPr>
            </w:pPr>
            <w:r>
              <w:rPr>
                <w:rFonts w:hint="cs"/>
                <w:sz w:val="26"/>
                <w:rtl/>
              </w:rPr>
              <w:t>תחולת החלטת הרשות</w:t>
            </w:r>
          </w:p>
        </w:tc>
        <w:tc>
          <w:tcPr>
            <w:tcW w:w="624" w:type="dxa"/>
          </w:tcPr>
          <w:p w14:paraId="5342DF05" w14:textId="77777777" w:rsidR="00CC44B4" w:rsidRDefault="00CC44B4" w:rsidP="00EB0494">
            <w:pPr>
              <w:pStyle w:val="TableText"/>
              <w:rPr>
                <w:sz w:val="26"/>
                <w:rtl/>
              </w:rPr>
            </w:pPr>
            <w:r>
              <w:rPr>
                <w:rFonts w:hint="cs"/>
                <w:sz w:val="26"/>
                <w:rtl/>
              </w:rPr>
              <w:t>4.</w:t>
            </w:r>
          </w:p>
        </w:tc>
        <w:tc>
          <w:tcPr>
            <w:tcW w:w="7143" w:type="dxa"/>
          </w:tcPr>
          <w:p w14:paraId="4772B5C2" w14:textId="77777777" w:rsidR="00CC44B4" w:rsidRPr="00292D9D" w:rsidRDefault="00CC44B4" w:rsidP="00EB0494">
            <w:pPr>
              <w:pStyle w:val="TableBlock"/>
              <w:rPr>
                <w:rtl/>
              </w:rPr>
            </w:pPr>
            <w:r w:rsidRPr="00292D9D">
              <w:rPr>
                <w:rFonts w:hint="cs"/>
                <w:rtl/>
              </w:rPr>
              <w:t>(</w:t>
            </w:r>
            <w:r>
              <w:rPr>
                <w:rFonts w:hint="cs"/>
                <w:rtl/>
              </w:rPr>
              <w:t>א</w:t>
            </w:r>
            <w:r w:rsidRPr="00292D9D">
              <w:rPr>
                <w:rFonts w:hint="cs"/>
                <w:rtl/>
              </w:rPr>
              <w:t>)</w:t>
            </w:r>
            <w:r>
              <w:rPr>
                <w:rtl/>
              </w:rPr>
              <w:tab/>
            </w:r>
            <w:r>
              <w:rPr>
                <w:rFonts w:hint="cs"/>
                <w:sz w:val="26"/>
                <w:rtl/>
              </w:rPr>
              <w:t>הרשות המקומית רשאית להחליט כי הפעלת שירותי התחבורה הציבורית כאמור בסעיף 3 תוגבל</w:t>
            </w:r>
            <w:r w:rsidRPr="00292D9D">
              <w:rPr>
                <w:rFonts w:hint="cs"/>
                <w:rtl/>
              </w:rPr>
              <w:t xml:space="preserve"> לאזורים מסוימים ברשות המקומית </w:t>
            </w:r>
            <w:r>
              <w:rPr>
                <w:rFonts w:hint="cs"/>
                <w:rtl/>
              </w:rPr>
              <w:t>או</w:t>
            </w:r>
            <w:r w:rsidRPr="00292D9D">
              <w:rPr>
                <w:rFonts w:hint="cs"/>
                <w:rtl/>
              </w:rPr>
              <w:t xml:space="preserve"> לקווי שירות מסוימים הפועלים בשטחה.</w:t>
            </w:r>
          </w:p>
        </w:tc>
      </w:tr>
      <w:tr w:rsidR="00CC44B4" w:rsidRPr="000F2E77" w14:paraId="0D83EA32" w14:textId="77777777" w:rsidTr="00EB0494">
        <w:trPr>
          <w:cantSplit/>
        </w:trPr>
        <w:tc>
          <w:tcPr>
            <w:tcW w:w="1871" w:type="dxa"/>
          </w:tcPr>
          <w:p w14:paraId="03F62628" w14:textId="77777777" w:rsidR="00CC44B4" w:rsidRPr="00776A45" w:rsidRDefault="00CC44B4" w:rsidP="00EB0494">
            <w:pPr>
              <w:pStyle w:val="TableSideHeading"/>
              <w:rPr>
                <w:sz w:val="26"/>
                <w:rtl/>
              </w:rPr>
            </w:pPr>
          </w:p>
        </w:tc>
        <w:tc>
          <w:tcPr>
            <w:tcW w:w="624" w:type="dxa"/>
          </w:tcPr>
          <w:p w14:paraId="15227ED0" w14:textId="77777777" w:rsidR="00CC44B4" w:rsidRPr="000F2E77" w:rsidRDefault="00CC44B4" w:rsidP="00EB0494">
            <w:pPr>
              <w:pStyle w:val="TableText"/>
              <w:rPr>
                <w:sz w:val="26"/>
                <w:rtl/>
              </w:rPr>
            </w:pPr>
          </w:p>
        </w:tc>
        <w:tc>
          <w:tcPr>
            <w:tcW w:w="7143" w:type="dxa"/>
          </w:tcPr>
          <w:p w14:paraId="6767A077" w14:textId="77777777" w:rsidR="00CC44B4" w:rsidRPr="00292D9D" w:rsidRDefault="00CC44B4" w:rsidP="00EB0494">
            <w:pPr>
              <w:pStyle w:val="TableBlock"/>
              <w:rPr>
                <w:rtl/>
              </w:rPr>
            </w:pPr>
            <w:r>
              <w:rPr>
                <w:rFonts w:hint="cs"/>
                <w:rtl/>
              </w:rPr>
              <w:t>(ב)</w:t>
            </w:r>
            <w:r>
              <w:rPr>
                <w:rtl/>
              </w:rPr>
              <w:tab/>
            </w:r>
            <w:r>
              <w:rPr>
                <w:rFonts w:hint="cs"/>
                <w:rtl/>
              </w:rPr>
              <w:t>חלה</w:t>
            </w:r>
            <w:r w:rsidRPr="00292D9D">
              <w:rPr>
                <w:rFonts w:hint="cs"/>
                <w:rtl/>
              </w:rPr>
              <w:t xml:space="preserve"> החלטת הרשות </w:t>
            </w:r>
            <w:r>
              <w:rPr>
                <w:rFonts w:hint="cs"/>
                <w:rtl/>
              </w:rPr>
              <w:t xml:space="preserve">על </w:t>
            </w:r>
            <w:r w:rsidRPr="00292D9D">
              <w:rPr>
                <w:rFonts w:hint="cs"/>
                <w:rtl/>
              </w:rPr>
              <w:t xml:space="preserve">קו שירות מסוים הפועל בשטחה </w:t>
            </w:r>
            <w:r w:rsidRPr="00292D9D">
              <w:rPr>
                <w:rtl/>
              </w:rPr>
              <w:t>–</w:t>
            </w:r>
            <w:r w:rsidRPr="00292D9D">
              <w:rPr>
                <w:rFonts w:hint="cs"/>
                <w:rtl/>
              </w:rPr>
              <w:t xml:space="preserve"> תחול ההחלטה על חלקי</w:t>
            </w:r>
            <w:r>
              <w:rPr>
                <w:rFonts w:hint="cs"/>
                <w:rtl/>
              </w:rPr>
              <w:t xml:space="preserve"> מסלול</w:t>
            </w:r>
            <w:r w:rsidRPr="00292D9D">
              <w:rPr>
                <w:rFonts w:hint="cs"/>
                <w:rtl/>
              </w:rPr>
              <w:t xml:space="preserve"> הקו העוברים בגבולות הרשות, ועל חלקי </w:t>
            </w:r>
            <w:r>
              <w:rPr>
                <w:rFonts w:hint="cs"/>
                <w:rtl/>
              </w:rPr>
              <w:t xml:space="preserve">מסלול </w:t>
            </w:r>
            <w:r w:rsidRPr="00292D9D">
              <w:rPr>
                <w:rFonts w:hint="cs"/>
                <w:rtl/>
              </w:rPr>
              <w:t>הקו הע</w:t>
            </w:r>
            <w:r>
              <w:rPr>
                <w:rFonts w:hint="cs"/>
                <w:rtl/>
              </w:rPr>
              <w:t>וברים אל הרשות וממנה בכבישים בין-</w:t>
            </w:r>
            <w:r w:rsidRPr="00292D9D">
              <w:rPr>
                <w:rFonts w:hint="cs"/>
                <w:rtl/>
              </w:rPr>
              <w:t>עירוניים בלבד.</w:t>
            </w:r>
          </w:p>
        </w:tc>
      </w:tr>
      <w:tr w:rsidR="00CC44B4" w:rsidRPr="000F2E77" w14:paraId="2BF125F9" w14:textId="77777777" w:rsidTr="00EB0494">
        <w:trPr>
          <w:cantSplit/>
        </w:trPr>
        <w:tc>
          <w:tcPr>
            <w:tcW w:w="1871" w:type="dxa"/>
          </w:tcPr>
          <w:p w14:paraId="18BC4866" w14:textId="77777777" w:rsidR="00CC44B4" w:rsidRPr="000F2E77" w:rsidRDefault="00CC44B4" w:rsidP="00EB0494">
            <w:pPr>
              <w:pStyle w:val="TableSideHeading"/>
              <w:rPr>
                <w:sz w:val="26"/>
                <w:rtl/>
              </w:rPr>
            </w:pPr>
          </w:p>
        </w:tc>
        <w:tc>
          <w:tcPr>
            <w:tcW w:w="624" w:type="dxa"/>
          </w:tcPr>
          <w:p w14:paraId="0A32286E" w14:textId="77777777" w:rsidR="00CC44B4" w:rsidRPr="000F2E77" w:rsidRDefault="00CC44B4" w:rsidP="00EB0494">
            <w:pPr>
              <w:pStyle w:val="TableText"/>
              <w:rPr>
                <w:sz w:val="26"/>
                <w:rtl/>
              </w:rPr>
            </w:pPr>
          </w:p>
        </w:tc>
        <w:tc>
          <w:tcPr>
            <w:tcW w:w="7143" w:type="dxa"/>
          </w:tcPr>
          <w:p w14:paraId="4145C05A" w14:textId="77777777" w:rsidR="00CC44B4" w:rsidRPr="00292D9D" w:rsidRDefault="00CC44B4" w:rsidP="00EB0494">
            <w:pPr>
              <w:pStyle w:val="TableBlock"/>
              <w:rPr>
                <w:rtl/>
              </w:rPr>
            </w:pPr>
            <w:r>
              <w:rPr>
                <w:rFonts w:hint="cs"/>
                <w:rtl/>
              </w:rPr>
              <w:t>(ג)</w:t>
            </w:r>
            <w:r>
              <w:rPr>
                <w:rtl/>
              </w:rPr>
              <w:tab/>
            </w:r>
            <w:r w:rsidRPr="00292D9D">
              <w:rPr>
                <w:rFonts w:hint="cs"/>
                <w:rtl/>
              </w:rPr>
              <w:t>חלה החלטת הרשות על חלק</w:t>
            </w:r>
            <w:r>
              <w:rPr>
                <w:rFonts w:hint="cs"/>
                <w:rtl/>
              </w:rPr>
              <w:t xml:space="preserve"> ממסלולו</w:t>
            </w:r>
            <w:r w:rsidRPr="00292D9D">
              <w:rPr>
                <w:rFonts w:hint="cs"/>
                <w:rtl/>
              </w:rPr>
              <w:t xml:space="preserve"> של קו שירות </w:t>
            </w:r>
            <w:r w:rsidRPr="00292D9D">
              <w:rPr>
                <w:rtl/>
              </w:rPr>
              <w:t>–</w:t>
            </w:r>
            <w:r>
              <w:rPr>
                <w:rFonts w:hint="cs"/>
                <w:rtl/>
              </w:rPr>
              <w:t xml:space="preserve"> י</w:t>
            </w:r>
            <w:r w:rsidRPr="00292D9D">
              <w:rPr>
                <w:rFonts w:hint="cs"/>
                <w:rtl/>
              </w:rPr>
              <w:t>ראו את הרישיון שניתן להפעלת קו השירות ככזה המאפשר לבעל הרישיון להפעיל את החלק האמור של</w:t>
            </w:r>
            <w:r>
              <w:rPr>
                <w:rFonts w:hint="cs"/>
                <w:rtl/>
              </w:rPr>
              <w:t xml:space="preserve"> מסלול</w:t>
            </w:r>
            <w:r w:rsidRPr="00292D9D">
              <w:rPr>
                <w:rFonts w:hint="cs"/>
                <w:rtl/>
              </w:rPr>
              <w:t xml:space="preserve"> קו השירות ביום המנוחה השבועי בתדירות דומה לתדירות פעילותו בימי חול </w:t>
            </w:r>
            <w:r>
              <w:rPr>
                <w:rFonts w:hint="cs"/>
                <w:rtl/>
              </w:rPr>
              <w:t>ש</w:t>
            </w:r>
            <w:r w:rsidRPr="00292D9D">
              <w:rPr>
                <w:rFonts w:hint="cs"/>
                <w:rtl/>
              </w:rPr>
              <w:t>בהם פועל</w:t>
            </w:r>
            <w:r>
              <w:rPr>
                <w:rFonts w:hint="cs"/>
                <w:rtl/>
              </w:rPr>
              <w:t xml:space="preserve"> </w:t>
            </w:r>
            <w:r w:rsidRPr="00292D9D">
              <w:rPr>
                <w:rFonts w:hint="cs"/>
                <w:rtl/>
              </w:rPr>
              <w:t>הקו.</w:t>
            </w:r>
          </w:p>
        </w:tc>
      </w:tr>
      <w:tr w:rsidR="00CC44B4" w:rsidRPr="000F2E77" w14:paraId="4346218F" w14:textId="77777777" w:rsidTr="00EB0494">
        <w:trPr>
          <w:cantSplit/>
        </w:trPr>
        <w:tc>
          <w:tcPr>
            <w:tcW w:w="1871" w:type="dxa"/>
          </w:tcPr>
          <w:p w14:paraId="5D4A7CCC" w14:textId="77777777" w:rsidR="00CC44B4" w:rsidRPr="000F2E77" w:rsidRDefault="00CC44B4" w:rsidP="00EB0494">
            <w:pPr>
              <w:pStyle w:val="TableSideHeading"/>
              <w:rPr>
                <w:sz w:val="26"/>
                <w:rtl/>
              </w:rPr>
            </w:pPr>
            <w:r>
              <w:rPr>
                <w:rFonts w:hint="cs"/>
                <w:sz w:val="26"/>
                <w:rtl/>
              </w:rPr>
              <w:t>סייג למתן רישיון להפעלת קו שירות</w:t>
            </w:r>
          </w:p>
        </w:tc>
        <w:tc>
          <w:tcPr>
            <w:tcW w:w="624" w:type="dxa"/>
          </w:tcPr>
          <w:p w14:paraId="0DA298EC" w14:textId="77777777" w:rsidR="00CC44B4" w:rsidRPr="000F2E77" w:rsidRDefault="00CC44B4" w:rsidP="00EB0494">
            <w:pPr>
              <w:pStyle w:val="TableText"/>
              <w:rPr>
                <w:sz w:val="26"/>
                <w:rtl/>
              </w:rPr>
            </w:pPr>
            <w:r>
              <w:rPr>
                <w:rFonts w:hint="cs"/>
                <w:sz w:val="26"/>
                <w:rtl/>
              </w:rPr>
              <w:t>5.</w:t>
            </w:r>
          </w:p>
        </w:tc>
        <w:tc>
          <w:tcPr>
            <w:tcW w:w="7143" w:type="dxa"/>
          </w:tcPr>
          <w:p w14:paraId="31D13E0C" w14:textId="77777777" w:rsidR="00CC44B4" w:rsidRPr="00292D9D" w:rsidRDefault="00CC44B4" w:rsidP="00EB0494">
            <w:pPr>
              <w:pStyle w:val="TableBlock"/>
              <w:rPr>
                <w:rtl/>
              </w:rPr>
            </w:pPr>
            <w:r w:rsidRPr="00292D9D">
              <w:rPr>
                <w:rFonts w:hint="cs"/>
                <w:rtl/>
              </w:rPr>
              <w:t>רישיון</w:t>
            </w:r>
            <w:r>
              <w:rPr>
                <w:rFonts w:hint="cs"/>
                <w:rtl/>
              </w:rPr>
              <w:t xml:space="preserve"> חדש</w:t>
            </w:r>
            <w:r w:rsidRPr="00292D9D">
              <w:rPr>
                <w:rFonts w:hint="cs"/>
                <w:rtl/>
              </w:rPr>
              <w:t xml:space="preserve"> להפעלת קו שירות</w:t>
            </w:r>
            <w:r>
              <w:rPr>
                <w:rFonts w:hint="cs"/>
                <w:rtl/>
              </w:rPr>
              <w:t xml:space="preserve"> או הארכת תוקפו של</w:t>
            </w:r>
            <w:r w:rsidRPr="00292D9D">
              <w:rPr>
                <w:rFonts w:hint="cs"/>
                <w:rtl/>
              </w:rPr>
              <w:t xml:space="preserve"> רישיון </w:t>
            </w:r>
            <w:r>
              <w:rPr>
                <w:rFonts w:hint="cs"/>
                <w:rtl/>
              </w:rPr>
              <w:t xml:space="preserve">להפעלת </w:t>
            </w:r>
            <w:r w:rsidRPr="00292D9D">
              <w:rPr>
                <w:rFonts w:hint="cs"/>
                <w:rtl/>
              </w:rPr>
              <w:t>קו</w:t>
            </w:r>
            <w:r>
              <w:rPr>
                <w:rFonts w:hint="cs"/>
                <w:rtl/>
              </w:rPr>
              <w:t xml:space="preserve"> שירות</w:t>
            </w:r>
            <w:r w:rsidRPr="00292D9D">
              <w:rPr>
                <w:rFonts w:hint="cs"/>
                <w:rtl/>
              </w:rPr>
              <w:t xml:space="preserve"> שהחלטת הרשות חלה על חלק </w:t>
            </w:r>
            <w:r>
              <w:rPr>
                <w:rFonts w:hint="cs"/>
                <w:rtl/>
              </w:rPr>
              <w:t>ממסלולו</w:t>
            </w:r>
            <w:r w:rsidRPr="00292D9D">
              <w:rPr>
                <w:rFonts w:hint="cs"/>
                <w:rtl/>
              </w:rPr>
              <w:t xml:space="preserve">, </w:t>
            </w:r>
            <w:r>
              <w:rPr>
                <w:rFonts w:hint="cs"/>
                <w:rtl/>
              </w:rPr>
              <w:t>לא יינתנו אלא אם כן תיכלל בו הוראה</w:t>
            </w:r>
            <w:r w:rsidRPr="00292D9D">
              <w:rPr>
                <w:rFonts w:hint="cs"/>
                <w:rtl/>
              </w:rPr>
              <w:t xml:space="preserve"> </w:t>
            </w:r>
            <w:r>
              <w:rPr>
                <w:rFonts w:hint="cs"/>
                <w:rtl/>
              </w:rPr>
              <w:t>ה</w:t>
            </w:r>
            <w:r w:rsidRPr="00292D9D">
              <w:rPr>
                <w:rFonts w:hint="cs"/>
                <w:rtl/>
              </w:rPr>
              <w:t>מחייב</w:t>
            </w:r>
            <w:r>
              <w:rPr>
                <w:rFonts w:hint="cs"/>
                <w:rtl/>
              </w:rPr>
              <w:t>ת</w:t>
            </w:r>
            <w:r w:rsidRPr="00292D9D">
              <w:rPr>
                <w:rFonts w:hint="cs"/>
                <w:rtl/>
              </w:rPr>
              <w:t xml:space="preserve"> את מפעיל הקו להפעילו באופן ההולם את החלטת הרשות. </w:t>
            </w:r>
          </w:p>
        </w:tc>
      </w:tr>
      <w:tr w:rsidR="00CC44B4" w:rsidRPr="000F2E77" w14:paraId="031252D0" w14:textId="77777777" w:rsidTr="00EB0494">
        <w:trPr>
          <w:cantSplit/>
        </w:trPr>
        <w:tc>
          <w:tcPr>
            <w:tcW w:w="1871" w:type="dxa"/>
          </w:tcPr>
          <w:p w14:paraId="74824490" w14:textId="77777777" w:rsidR="00CC44B4" w:rsidRDefault="00CC44B4" w:rsidP="00EB0494">
            <w:pPr>
              <w:pStyle w:val="TableSideHeading"/>
              <w:rPr>
                <w:sz w:val="26"/>
                <w:rtl/>
              </w:rPr>
            </w:pPr>
            <w:r w:rsidRPr="000F2E77">
              <w:rPr>
                <w:rFonts w:hint="cs"/>
                <w:sz w:val="26"/>
                <w:rtl/>
              </w:rPr>
              <w:t>הגבלת תדירות</w:t>
            </w:r>
            <w:r>
              <w:rPr>
                <w:sz w:val="26"/>
                <w:rtl/>
              </w:rPr>
              <w:t xml:space="preserve"> </w:t>
            </w:r>
          </w:p>
        </w:tc>
        <w:tc>
          <w:tcPr>
            <w:tcW w:w="624" w:type="dxa"/>
          </w:tcPr>
          <w:p w14:paraId="448D2B71" w14:textId="77777777" w:rsidR="00CC44B4" w:rsidRDefault="00CC44B4" w:rsidP="00EB0494">
            <w:pPr>
              <w:pStyle w:val="TableText"/>
              <w:rPr>
                <w:sz w:val="26"/>
                <w:rtl/>
              </w:rPr>
            </w:pPr>
            <w:r>
              <w:rPr>
                <w:rFonts w:hint="cs"/>
                <w:sz w:val="26"/>
                <w:rtl/>
              </w:rPr>
              <w:t>6.</w:t>
            </w:r>
          </w:p>
        </w:tc>
        <w:tc>
          <w:tcPr>
            <w:tcW w:w="7143" w:type="dxa"/>
          </w:tcPr>
          <w:p w14:paraId="76C873E0" w14:textId="77777777" w:rsidR="00CC44B4" w:rsidRPr="00292D9D" w:rsidRDefault="00CC44B4" w:rsidP="00EB0494">
            <w:pPr>
              <w:pStyle w:val="TableBlock"/>
              <w:rPr>
                <w:rtl/>
              </w:rPr>
            </w:pPr>
            <w:r w:rsidRPr="0094169F">
              <w:rPr>
                <w:rFonts w:hint="eastAsia"/>
                <w:rtl/>
              </w:rPr>
              <w:t>השר</w:t>
            </w:r>
            <w:r w:rsidRPr="0094169F">
              <w:rPr>
                <w:rtl/>
              </w:rPr>
              <w:t xml:space="preserve"> </w:t>
            </w:r>
            <w:r w:rsidRPr="0094169F">
              <w:rPr>
                <w:rFonts w:hint="eastAsia"/>
                <w:rtl/>
              </w:rPr>
              <w:t>יפעל</w:t>
            </w:r>
            <w:r w:rsidRPr="0094169F">
              <w:rPr>
                <w:rtl/>
              </w:rPr>
              <w:t xml:space="preserve"> </w:t>
            </w:r>
            <w:r w:rsidRPr="0094169F">
              <w:rPr>
                <w:rFonts w:hint="eastAsia"/>
                <w:rtl/>
              </w:rPr>
              <w:t>בהתאם</w:t>
            </w:r>
            <w:r w:rsidRPr="0094169F">
              <w:rPr>
                <w:rtl/>
              </w:rPr>
              <w:t xml:space="preserve"> </w:t>
            </w:r>
            <w:r w:rsidRPr="0094169F">
              <w:rPr>
                <w:rFonts w:hint="eastAsia"/>
                <w:rtl/>
              </w:rPr>
              <w:t>להחלטת</w:t>
            </w:r>
            <w:r w:rsidRPr="0094169F">
              <w:rPr>
                <w:rtl/>
              </w:rPr>
              <w:t xml:space="preserve"> </w:t>
            </w:r>
            <w:r w:rsidRPr="0094169F">
              <w:rPr>
                <w:rFonts w:hint="eastAsia"/>
                <w:rtl/>
              </w:rPr>
              <w:t>הרשות</w:t>
            </w:r>
            <w:r w:rsidRPr="0094169F">
              <w:rPr>
                <w:rtl/>
              </w:rPr>
              <w:t xml:space="preserve"> </w:t>
            </w:r>
            <w:r w:rsidRPr="0094169F">
              <w:rPr>
                <w:rFonts w:hint="eastAsia"/>
                <w:rtl/>
              </w:rPr>
              <w:t>ויאפשר</w:t>
            </w:r>
            <w:r w:rsidRPr="0094169F">
              <w:rPr>
                <w:rtl/>
              </w:rPr>
              <w:t xml:space="preserve"> </w:t>
            </w:r>
            <w:r w:rsidRPr="0094169F">
              <w:rPr>
                <w:rFonts w:hint="eastAsia"/>
                <w:rtl/>
              </w:rPr>
              <w:t>קיומה</w:t>
            </w:r>
            <w:r>
              <w:rPr>
                <w:rFonts w:hint="cs"/>
                <w:rtl/>
              </w:rPr>
              <w:t xml:space="preserve">; ואולם, על אף האמור בסעיף 4(ג), </w:t>
            </w:r>
            <w:r w:rsidRPr="00292D9D">
              <w:rPr>
                <w:rFonts w:hint="cs"/>
                <w:rtl/>
              </w:rPr>
              <w:t xml:space="preserve">השר רשאי, משיקולים כלכליים, בהתייעצות עם שר האוצר ושר המשפטים ובאישור ועדת הכלכלה של הכנסת, לקבוע כי קו שירות המופעל ביום המנוחה השבועי על פי הוראות חוק זה יפעל בתדירות השונה מתדירות פעילותו </w:t>
            </w:r>
            <w:r>
              <w:rPr>
                <w:rFonts w:hint="cs"/>
                <w:rtl/>
              </w:rPr>
              <w:t>בימי חול,</w:t>
            </w:r>
            <w:r w:rsidRPr="00292D9D">
              <w:rPr>
                <w:rFonts w:hint="cs"/>
                <w:rtl/>
              </w:rPr>
              <w:t xml:space="preserve"> </w:t>
            </w:r>
            <w:r>
              <w:rPr>
                <w:rFonts w:hint="cs"/>
                <w:rtl/>
              </w:rPr>
              <w:t>ובלבד</w:t>
            </w:r>
            <w:r w:rsidRPr="00292D9D">
              <w:rPr>
                <w:rFonts w:hint="cs"/>
                <w:rtl/>
              </w:rPr>
              <w:t xml:space="preserve"> </w:t>
            </w:r>
            <w:r>
              <w:rPr>
                <w:rFonts w:hint="cs"/>
                <w:rtl/>
              </w:rPr>
              <w:t>ש</w:t>
            </w:r>
            <w:r w:rsidRPr="00292D9D">
              <w:rPr>
                <w:rFonts w:hint="cs"/>
                <w:rtl/>
              </w:rPr>
              <w:t>אין בהחלטה כדי להפסיק את פעילות הקו.</w:t>
            </w:r>
          </w:p>
        </w:tc>
      </w:tr>
      <w:tr w:rsidR="00CC44B4" w:rsidRPr="000F2E77" w14:paraId="4C1F5CB0" w14:textId="77777777" w:rsidTr="00EB0494">
        <w:trPr>
          <w:cantSplit/>
        </w:trPr>
        <w:tc>
          <w:tcPr>
            <w:tcW w:w="1871" w:type="dxa"/>
          </w:tcPr>
          <w:p w14:paraId="70FFA18B" w14:textId="77777777" w:rsidR="00CC44B4" w:rsidRDefault="00CC44B4" w:rsidP="00EB0494">
            <w:pPr>
              <w:pStyle w:val="TableSideHeading"/>
              <w:rPr>
                <w:sz w:val="26"/>
                <w:rtl/>
              </w:rPr>
            </w:pPr>
            <w:r w:rsidRPr="000F2E77">
              <w:rPr>
                <w:sz w:val="26"/>
                <w:rtl/>
              </w:rPr>
              <w:t>ביצוע ותקנות</w:t>
            </w:r>
          </w:p>
        </w:tc>
        <w:tc>
          <w:tcPr>
            <w:tcW w:w="624" w:type="dxa"/>
          </w:tcPr>
          <w:p w14:paraId="19E5433E" w14:textId="77777777" w:rsidR="00CC44B4" w:rsidRDefault="00CC44B4" w:rsidP="00EB0494">
            <w:pPr>
              <w:pStyle w:val="TableText"/>
              <w:rPr>
                <w:sz w:val="26"/>
                <w:rtl/>
              </w:rPr>
            </w:pPr>
            <w:r>
              <w:rPr>
                <w:rFonts w:hint="cs"/>
                <w:sz w:val="26"/>
                <w:rtl/>
              </w:rPr>
              <w:t>7.</w:t>
            </w:r>
          </w:p>
        </w:tc>
        <w:tc>
          <w:tcPr>
            <w:tcW w:w="7143" w:type="dxa"/>
          </w:tcPr>
          <w:p w14:paraId="0B5161BE" w14:textId="77777777" w:rsidR="00CC44B4" w:rsidRPr="00292D9D" w:rsidRDefault="00CC44B4" w:rsidP="00EB0494">
            <w:pPr>
              <w:pStyle w:val="TableBlock"/>
              <w:rPr>
                <w:rtl/>
              </w:rPr>
            </w:pPr>
            <w:r w:rsidRPr="00292D9D">
              <w:rPr>
                <w:rFonts w:hint="cs"/>
                <w:rtl/>
              </w:rPr>
              <w:t>השר</w:t>
            </w:r>
            <w:r w:rsidRPr="00292D9D">
              <w:rPr>
                <w:rtl/>
              </w:rPr>
              <w:t xml:space="preserve"> ממו</w:t>
            </w:r>
            <w:r>
              <w:rPr>
                <w:rtl/>
              </w:rPr>
              <w:t xml:space="preserve">נה על ביצוע חוק זה, והוא רשאי, </w:t>
            </w:r>
            <w:r w:rsidRPr="00292D9D">
              <w:rPr>
                <w:rtl/>
              </w:rPr>
              <w:t>באישור ועדת הכלכלה של הכנסת, להתקין תקנות לביצועו.</w:t>
            </w:r>
          </w:p>
        </w:tc>
      </w:tr>
    </w:tbl>
    <w:p w14:paraId="6A339B49" w14:textId="77777777" w:rsidR="00CC44B4" w:rsidRPr="000F2E77" w:rsidRDefault="00CC44B4" w:rsidP="00CC44B4">
      <w:pPr>
        <w:pStyle w:val="HeadDivreiHesber"/>
        <w:spacing w:line="240" w:lineRule="auto"/>
        <w:rPr>
          <w:sz w:val="26"/>
          <w:rtl/>
        </w:rPr>
      </w:pPr>
      <w:r w:rsidRPr="000F2E77">
        <w:rPr>
          <w:sz w:val="26"/>
          <w:rtl/>
        </w:rPr>
        <w:t>דברי הסבר</w:t>
      </w:r>
    </w:p>
    <w:p w14:paraId="58D92712" w14:textId="77777777" w:rsidR="00CC44B4" w:rsidRPr="00467ACB" w:rsidRDefault="00CC44B4" w:rsidP="00CC44B4">
      <w:pPr>
        <w:pStyle w:val="Hesber"/>
        <w:rPr>
          <w:rtl/>
        </w:rPr>
      </w:pPr>
      <w:r w:rsidRPr="00467ACB">
        <w:rPr>
          <w:rtl/>
        </w:rPr>
        <w:t>מטרת הצעת החוק היא</w:t>
      </w:r>
      <w:r w:rsidRPr="00467ACB">
        <w:rPr>
          <w:rFonts w:hint="cs"/>
          <w:rtl/>
        </w:rPr>
        <w:t xml:space="preserve"> להגשים צדק חברתי ו</w:t>
      </w:r>
      <w:r w:rsidRPr="00467ACB">
        <w:rPr>
          <w:rtl/>
        </w:rPr>
        <w:t>ל</w:t>
      </w:r>
      <w:r w:rsidRPr="00467ACB">
        <w:rPr>
          <w:rFonts w:hint="cs"/>
          <w:rtl/>
        </w:rPr>
        <w:t>אפשר לאוכלוסיות שאין להן אמצעי תחבורה פרטיים ליהנות מיום המנוחה השבועי ולאפשר להן נגישות למקומות בילוי.</w:t>
      </w:r>
    </w:p>
    <w:p w14:paraId="1DBCB86E" w14:textId="77777777" w:rsidR="00CC44B4" w:rsidRPr="00467ACB" w:rsidRDefault="00CC44B4" w:rsidP="00CC44B4">
      <w:pPr>
        <w:pStyle w:val="Hesber"/>
        <w:rPr>
          <w:rtl/>
        </w:rPr>
      </w:pPr>
      <w:r w:rsidRPr="00467ACB">
        <w:rPr>
          <w:rFonts w:hint="cs"/>
          <w:rtl/>
        </w:rPr>
        <w:t xml:space="preserve">הצעת החוק </w:t>
      </w:r>
      <w:r>
        <w:rPr>
          <w:rFonts w:hint="cs"/>
          <w:rtl/>
        </w:rPr>
        <w:t>נועדה לאפשר</w:t>
      </w:r>
      <w:r w:rsidRPr="00467ACB">
        <w:rPr>
          <w:rFonts w:hint="cs"/>
          <w:rtl/>
        </w:rPr>
        <w:t xml:space="preserve"> לרשות מקומית לקבל החלטה על הפעלת קו שי</w:t>
      </w:r>
      <w:r>
        <w:rPr>
          <w:rFonts w:hint="cs"/>
          <w:rtl/>
        </w:rPr>
        <w:t>רות ציבורי בגבולותיה ובדרכים בין-</w:t>
      </w:r>
      <w:r w:rsidRPr="00467ACB">
        <w:rPr>
          <w:rFonts w:hint="cs"/>
          <w:rtl/>
        </w:rPr>
        <w:t>עירוניות בלבד. החלטת הרשות צריכה לאזן בין הצורך המוצדק של תושבים שאין ברשותם כלי רכב ואי לכך, מוצאים עצמם ספונים בביתם ביום המנוחה השבועי, ללא אפשרות להגיע למקומות הבילוי בהם</w:t>
      </w:r>
      <w:r>
        <w:rPr>
          <w:rFonts w:hint="cs"/>
          <w:rtl/>
        </w:rPr>
        <w:t xml:space="preserve"> מבלים שאר התושבים, ו</w:t>
      </w:r>
      <w:r w:rsidRPr="00467ACB">
        <w:rPr>
          <w:rFonts w:hint="cs"/>
          <w:rtl/>
        </w:rPr>
        <w:t>בין הצורך לשמור על השקט והמנוחה של כלל התושבים ולמנוע מטרדי רעש וזיהום אוויר. בהתאם למוצע, החלטת הרשות המקומית תחייב את שר התחבורה והבטיחות בדרכים, אולם, בהתאם ל</w:t>
      </w:r>
      <w:r w:rsidRPr="00467ACB">
        <w:rPr>
          <w:rtl/>
        </w:rPr>
        <w:t xml:space="preserve">סעיף </w:t>
      </w:r>
      <w:r w:rsidRPr="00467ACB">
        <w:rPr>
          <w:rFonts w:hint="cs"/>
          <w:rtl/>
        </w:rPr>
        <w:t xml:space="preserve">6 </w:t>
      </w:r>
      <w:r w:rsidRPr="00467ACB">
        <w:rPr>
          <w:rtl/>
        </w:rPr>
        <w:t>להצעת החוק</w:t>
      </w:r>
      <w:r w:rsidRPr="00467ACB">
        <w:rPr>
          <w:rFonts w:hint="cs"/>
          <w:rtl/>
        </w:rPr>
        <w:t>,</w:t>
      </w:r>
      <w:r w:rsidRPr="00467ACB">
        <w:rPr>
          <w:rtl/>
        </w:rPr>
        <w:t xml:space="preserve"> לשר התחבורה</w:t>
      </w:r>
      <w:r w:rsidRPr="00467ACB">
        <w:rPr>
          <w:rFonts w:hint="cs"/>
          <w:rtl/>
        </w:rPr>
        <w:t xml:space="preserve"> </w:t>
      </w:r>
      <w:r w:rsidRPr="00467ACB">
        <w:rPr>
          <w:rtl/>
        </w:rPr>
        <w:t>והבטיחות בדרכים</w:t>
      </w:r>
      <w:r w:rsidRPr="00467ACB">
        <w:rPr>
          <w:rFonts w:hint="cs"/>
          <w:rtl/>
        </w:rPr>
        <w:t xml:space="preserve"> תהיה סמכות</w:t>
      </w:r>
      <w:r w:rsidRPr="00467ACB">
        <w:rPr>
          <w:rtl/>
        </w:rPr>
        <w:t xml:space="preserve"> לקבוע </w:t>
      </w:r>
      <w:r w:rsidRPr="00467ACB">
        <w:rPr>
          <w:rtl/>
        </w:rPr>
        <w:lastRenderedPageBreak/>
        <w:t>שקו כלשהו של תחבורה ציבורית יפעל ביום המנוחה השבועית בתדירות נמוכה יותר מאשר בימי העבודה, מסיבות של כדאיות</w:t>
      </w:r>
      <w:r w:rsidRPr="00467ACB">
        <w:rPr>
          <w:rFonts w:hint="cs"/>
          <w:rtl/>
        </w:rPr>
        <w:t xml:space="preserve"> כלכלית</w:t>
      </w:r>
      <w:r w:rsidRPr="00467ACB">
        <w:rPr>
          <w:rtl/>
        </w:rPr>
        <w:t xml:space="preserve">. </w:t>
      </w:r>
    </w:p>
    <w:p w14:paraId="409BEF81" w14:textId="60BC5E36" w:rsidR="00CC44B4" w:rsidRPr="00467ACB" w:rsidRDefault="00CC44B4" w:rsidP="00384F1E">
      <w:pPr>
        <w:pStyle w:val="Hesber"/>
        <w:rPr>
          <w:rtl/>
        </w:rPr>
      </w:pPr>
      <w:r w:rsidRPr="00467ACB">
        <w:rPr>
          <w:rFonts w:hint="cs"/>
          <w:rtl/>
        </w:rPr>
        <w:t>הצע</w:t>
      </w:r>
      <w:r>
        <w:rPr>
          <w:rFonts w:hint="cs"/>
          <w:rtl/>
        </w:rPr>
        <w:t>ו</w:t>
      </w:r>
      <w:r w:rsidRPr="00467ACB">
        <w:rPr>
          <w:rFonts w:hint="cs"/>
          <w:rtl/>
        </w:rPr>
        <w:t>ת חוק זה</w:t>
      </w:r>
      <w:r>
        <w:rPr>
          <w:rFonts w:hint="cs"/>
          <w:rtl/>
        </w:rPr>
        <w:t>ות</w:t>
      </w:r>
      <w:r w:rsidRPr="00467ACB">
        <w:rPr>
          <w:rFonts w:hint="cs"/>
          <w:rtl/>
        </w:rPr>
        <w:t xml:space="preserve"> הונח</w:t>
      </w:r>
      <w:r>
        <w:rPr>
          <w:rFonts w:hint="cs"/>
          <w:rtl/>
        </w:rPr>
        <w:t>ו</w:t>
      </w:r>
      <w:r w:rsidRPr="00467ACB">
        <w:rPr>
          <w:rFonts w:hint="cs"/>
          <w:rtl/>
        </w:rPr>
        <w:t xml:space="preserve"> על שולחן הכנסת העשרים על ידי חברת הכנסת יעל גרמן וקבוצת חברי הכנסת (פ/873/20; הוסרה מסדר היום ביום ט"ז בסיוון התשע"ו (22 ביוני 2016)</w:t>
      </w:r>
      <w:r w:rsidR="00D83131">
        <w:rPr>
          <w:rFonts w:hint="cs"/>
          <w:rtl/>
        </w:rPr>
        <w:t>;</w:t>
      </w:r>
      <w:r w:rsidR="00384F1E">
        <w:rPr>
          <w:rFonts w:hint="cs"/>
          <w:rtl/>
        </w:rPr>
        <w:t xml:space="preserve"> </w:t>
      </w:r>
      <w:r w:rsidRPr="00467ACB">
        <w:rPr>
          <w:rFonts w:hint="cs"/>
          <w:rtl/>
        </w:rPr>
        <w:t>פ/3443/20; הוסרה מסדר היום ביום כ"ז בסיון התשע"ז</w:t>
      </w:r>
      <w:r w:rsidR="00DD5576">
        <w:rPr>
          <w:rFonts w:hint="cs"/>
          <w:rtl/>
        </w:rPr>
        <w:t xml:space="preserve"> (21 ביוני 2017)</w:t>
      </w:r>
      <w:r w:rsidR="00384F1E">
        <w:rPr>
          <w:rFonts w:hint="cs"/>
          <w:rtl/>
        </w:rPr>
        <w:t>,</w:t>
      </w:r>
      <w:r w:rsidR="00DD5576">
        <w:rPr>
          <w:rFonts w:hint="cs"/>
          <w:rtl/>
        </w:rPr>
        <w:t xml:space="preserve"> </w:t>
      </w:r>
      <w:r w:rsidR="00F45802">
        <w:rPr>
          <w:rFonts w:hint="cs"/>
          <w:rtl/>
        </w:rPr>
        <w:t>ו</w:t>
      </w:r>
      <w:r w:rsidR="00DD5576">
        <w:rPr>
          <w:rFonts w:hint="cs"/>
          <w:rtl/>
        </w:rPr>
        <w:t>על ידי חברת הכנסת יעל גרמן (</w:t>
      </w:r>
      <w:r w:rsidR="00DD5576" w:rsidRPr="003021CA">
        <w:rPr>
          <w:rFonts w:hint="cs"/>
          <w:rtl/>
        </w:rPr>
        <w:t>פ/4406/20</w:t>
      </w:r>
      <w:r w:rsidR="00DD5576">
        <w:rPr>
          <w:rFonts w:hint="cs"/>
          <w:rtl/>
        </w:rPr>
        <w:t>)</w:t>
      </w:r>
      <w:r w:rsidR="001850E8">
        <w:rPr>
          <w:rFonts w:hint="cs"/>
          <w:rtl/>
        </w:rPr>
        <w:t>.</w:t>
      </w:r>
    </w:p>
    <w:p w14:paraId="393FFB69" w14:textId="77777777" w:rsidR="00CC44B4" w:rsidRDefault="00CC44B4" w:rsidP="00CC44B4">
      <w:pPr>
        <w:pStyle w:val="Hesber"/>
        <w:ind w:firstLine="0"/>
        <w:rPr>
          <w:rtl/>
        </w:rPr>
      </w:pPr>
    </w:p>
    <w:p w14:paraId="669CB2EC" w14:textId="77777777" w:rsidR="00CC44B4" w:rsidRDefault="00CC44B4" w:rsidP="00CC44B4">
      <w:pPr>
        <w:pStyle w:val="Hesber"/>
        <w:rPr>
          <w:rtl/>
        </w:rPr>
      </w:pPr>
    </w:p>
    <w:p w14:paraId="24890863" w14:textId="77777777" w:rsidR="00CC44B4" w:rsidRDefault="00CC44B4" w:rsidP="00CC44B4">
      <w:pPr>
        <w:pStyle w:val="Hesber"/>
        <w:rPr>
          <w:rtl/>
        </w:rPr>
      </w:pPr>
    </w:p>
    <w:p w14:paraId="2C3F5D2C" w14:textId="77777777" w:rsidR="00384F1E" w:rsidRPr="00D73212" w:rsidRDefault="00384F1E" w:rsidP="00384F1E">
      <w:pPr>
        <w:pStyle w:val="Hesber"/>
        <w:rPr>
          <w:color w:val="auto"/>
          <w:rtl/>
          <w:lang w:eastAsia="en-US"/>
        </w:rPr>
      </w:pPr>
      <w:r w:rsidRPr="00D73212">
        <w:rPr>
          <w:color w:val="auto"/>
          <w:rtl/>
          <w:lang w:eastAsia="en-US"/>
        </w:rPr>
        <w:t>---------------------------------</w:t>
      </w:r>
    </w:p>
    <w:p w14:paraId="15E62446" w14:textId="77777777" w:rsidR="00384F1E" w:rsidRPr="00D73212" w:rsidRDefault="00384F1E" w:rsidP="00384F1E">
      <w:pPr>
        <w:pStyle w:val="Hesber"/>
        <w:rPr>
          <w:color w:val="auto"/>
          <w:rtl/>
          <w:lang w:eastAsia="en-US"/>
        </w:rPr>
      </w:pPr>
      <w:r w:rsidRPr="00D73212">
        <w:rPr>
          <w:rFonts w:hint="cs"/>
          <w:color w:val="auto"/>
          <w:rtl/>
          <w:lang w:eastAsia="en-US"/>
        </w:rPr>
        <w:t>הוגשה</w:t>
      </w:r>
      <w:r w:rsidRPr="00D73212">
        <w:rPr>
          <w:color w:val="auto"/>
          <w:rtl/>
          <w:lang w:eastAsia="en-US"/>
        </w:rPr>
        <w:t xml:space="preserve"> </w:t>
      </w:r>
      <w:r w:rsidRPr="00D73212">
        <w:rPr>
          <w:rFonts w:hint="cs"/>
          <w:color w:val="auto"/>
          <w:rtl/>
          <w:lang w:eastAsia="en-US"/>
        </w:rPr>
        <w:t>ליו</w:t>
      </w:r>
      <w:r w:rsidRPr="00D73212">
        <w:rPr>
          <w:color w:val="auto"/>
          <w:rtl/>
          <w:lang w:eastAsia="en-US"/>
        </w:rPr>
        <w:t>"</w:t>
      </w:r>
      <w:r w:rsidRPr="00D73212">
        <w:rPr>
          <w:rFonts w:hint="cs"/>
          <w:color w:val="auto"/>
          <w:rtl/>
          <w:lang w:eastAsia="en-US"/>
        </w:rPr>
        <w:t>ר</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והסגנים</w:t>
      </w:r>
    </w:p>
    <w:p w14:paraId="390A4941" w14:textId="77777777" w:rsidR="00384F1E" w:rsidRPr="00D73212" w:rsidRDefault="00384F1E" w:rsidP="00384F1E">
      <w:pPr>
        <w:pStyle w:val="Hesber"/>
        <w:rPr>
          <w:color w:val="auto"/>
          <w:rtl/>
          <w:lang w:eastAsia="en-US"/>
        </w:rPr>
      </w:pPr>
      <w:r w:rsidRPr="00D73212">
        <w:rPr>
          <w:rFonts w:hint="cs"/>
          <w:color w:val="auto"/>
          <w:rtl/>
          <w:lang w:eastAsia="en-US"/>
        </w:rPr>
        <w:t>והונחה</w:t>
      </w:r>
      <w:r w:rsidRPr="00D73212">
        <w:rPr>
          <w:color w:val="auto"/>
          <w:rtl/>
          <w:lang w:eastAsia="en-US"/>
        </w:rPr>
        <w:t xml:space="preserve"> </w:t>
      </w:r>
      <w:r w:rsidRPr="00D73212">
        <w:rPr>
          <w:rFonts w:hint="cs"/>
          <w:color w:val="auto"/>
          <w:rtl/>
          <w:lang w:eastAsia="en-US"/>
        </w:rPr>
        <w:t>על</w:t>
      </w:r>
      <w:r w:rsidRPr="00D73212">
        <w:rPr>
          <w:color w:val="auto"/>
          <w:rtl/>
          <w:lang w:eastAsia="en-US"/>
        </w:rPr>
        <w:t xml:space="preserve"> </w:t>
      </w:r>
      <w:r w:rsidRPr="00D73212">
        <w:rPr>
          <w:rFonts w:hint="cs"/>
          <w:color w:val="auto"/>
          <w:rtl/>
          <w:lang w:eastAsia="en-US"/>
        </w:rPr>
        <w:t>שולחן</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ביום</w:t>
      </w:r>
    </w:p>
    <w:p w14:paraId="5AA90273" w14:textId="77777777" w:rsidR="00384F1E" w:rsidRPr="00317312" w:rsidRDefault="00384F1E" w:rsidP="00384F1E">
      <w:pPr>
        <w:pStyle w:val="Hesber"/>
      </w:pPr>
      <w:r>
        <w:rPr>
          <w:rFonts w:hint="cs"/>
          <w:color w:val="auto"/>
          <w:rtl/>
          <w:lang w:eastAsia="en-US"/>
        </w:rPr>
        <w:t>י"ז בחשוון</w:t>
      </w:r>
      <w:r w:rsidRPr="00D73212">
        <w:rPr>
          <w:color w:val="auto"/>
          <w:rtl/>
          <w:lang w:eastAsia="en-US"/>
        </w:rPr>
        <w:t xml:space="preserve"> </w:t>
      </w:r>
      <w:r w:rsidRPr="00D73212">
        <w:rPr>
          <w:rFonts w:hint="cs"/>
          <w:color w:val="auto"/>
          <w:rtl/>
          <w:lang w:eastAsia="en-US"/>
        </w:rPr>
        <w:t>התשע</w:t>
      </w:r>
      <w:r w:rsidRPr="00D73212">
        <w:rPr>
          <w:color w:val="auto"/>
          <w:rtl/>
          <w:lang w:eastAsia="en-US"/>
        </w:rPr>
        <w:t>"</w:t>
      </w:r>
      <w:r>
        <w:rPr>
          <w:rFonts w:hint="cs"/>
          <w:color w:val="auto"/>
          <w:rtl/>
          <w:lang w:eastAsia="en-US"/>
        </w:rPr>
        <w:t>ח</w:t>
      </w:r>
      <w:r w:rsidRPr="00D73212">
        <w:rPr>
          <w:color w:val="auto"/>
          <w:rtl/>
          <w:lang w:eastAsia="en-US"/>
        </w:rPr>
        <w:t xml:space="preserve"> – </w:t>
      </w:r>
      <w:r>
        <w:rPr>
          <w:rFonts w:hint="cs"/>
          <w:color w:val="auto"/>
          <w:rtl/>
          <w:lang w:eastAsia="en-US"/>
        </w:rPr>
        <w:t>6.11</w:t>
      </w:r>
      <w:r w:rsidRPr="00D73212">
        <w:rPr>
          <w:color w:val="auto"/>
          <w:rtl/>
          <w:lang w:eastAsia="en-US"/>
        </w:rPr>
        <w:t>.</w:t>
      </w:r>
      <w:r>
        <w:rPr>
          <w:rFonts w:hint="cs"/>
          <w:color w:val="auto"/>
          <w:rtl/>
          <w:lang w:eastAsia="en-US"/>
        </w:rPr>
        <w:t>17</w:t>
      </w:r>
    </w:p>
    <w:p w14:paraId="20CFECB1" w14:textId="77777777" w:rsidR="00384F1E" w:rsidRDefault="00384F1E" w:rsidP="00384F1E">
      <w:pPr>
        <w:spacing w:before="0" w:line="360" w:lineRule="auto"/>
        <w:ind w:left="340" w:firstLine="0"/>
        <w:rPr>
          <w:rFonts w:ascii="Arial" w:eastAsia="Arial Unicode MS" w:hAnsi="Arial" w:cs="David"/>
          <w:snapToGrid w:val="0"/>
          <w:spacing w:val="0"/>
          <w:sz w:val="20"/>
          <w:szCs w:val="26"/>
          <w:rtl/>
        </w:rPr>
      </w:pPr>
    </w:p>
    <w:p w14:paraId="38139316" w14:textId="3577308F" w:rsidR="00CC44B4" w:rsidRDefault="00CC44B4" w:rsidP="00CC44B4">
      <w:pPr>
        <w:pStyle w:val="Hesber"/>
        <w:rPr>
          <w:rtl/>
        </w:rPr>
      </w:pPr>
      <w:bookmarkStart w:id="7" w:name="_GoBack"/>
      <w:bookmarkEnd w:id="7"/>
    </w:p>
    <w:p w14:paraId="7F6961CB" w14:textId="77777777" w:rsidR="00E13C27" w:rsidRDefault="00E13C27" w:rsidP="00CC44B4">
      <w:pPr>
        <w:pStyle w:val="HeadHatzaotHok"/>
        <w:rPr>
          <w:rtl/>
        </w:rPr>
      </w:pPr>
    </w:p>
    <w:sectPr w:rsidR="00E13C27" w:rsidSect="001207F8">
      <w:footerReference w:type="even" r:id="rId11"/>
      <w:footerReference w:type="default" r:id="rId12"/>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8A69" w14:textId="77777777" w:rsidR="00A942C1" w:rsidRDefault="00A942C1">
      <w:r>
        <w:separator/>
      </w:r>
    </w:p>
  </w:endnote>
  <w:endnote w:type="continuationSeparator" w:id="0">
    <w:p w14:paraId="318F26FB" w14:textId="77777777" w:rsidR="00A942C1" w:rsidRDefault="00A942C1">
      <w:r>
        <w:continuationSeparator/>
      </w:r>
    </w:p>
  </w:endnote>
  <w:endnote w:type="continuationNotice" w:id="1">
    <w:p w14:paraId="6BE48FD5" w14:textId="77777777" w:rsidR="00A942C1" w:rsidRDefault="00A942C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14:paraId="7F6961D6" w14:textId="77777777" w:rsidR="002C3041" w:rsidRDefault="002C304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2C3041" w:rsidRDefault="002C3041"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384F1E">
      <w:rPr>
        <w:rStyle w:val="aa"/>
        <w:noProof/>
        <w:rtl/>
      </w:rPr>
      <w:t>2</w:t>
    </w:r>
    <w:r>
      <w:rPr>
        <w:rStyle w:val="aa"/>
        <w:rtl/>
      </w:rPr>
      <w:fldChar w:fldCharType="end"/>
    </w:r>
  </w:p>
  <w:p w14:paraId="7F6961D8" w14:textId="77777777" w:rsidR="002C3041" w:rsidRDefault="002C304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B9F2" w14:textId="77777777" w:rsidR="00A942C1" w:rsidRDefault="00A942C1">
      <w:r>
        <w:separator/>
      </w:r>
    </w:p>
  </w:footnote>
  <w:footnote w:type="continuationSeparator" w:id="0">
    <w:p w14:paraId="3DB92342" w14:textId="77777777" w:rsidR="00A942C1" w:rsidRDefault="00A942C1">
      <w:r>
        <w:continuationSeparator/>
      </w:r>
    </w:p>
  </w:footnote>
  <w:footnote w:type="continuationNotice" w:id="1">
    <w:p w14:paraId="16009878" w14:textId="77777777" w:rsidR="00A942C1" w:rsidRDefault="00A942C1"/>
  </w:footnote>
  <w:footnote w:id="2">
    <w:p w14:paraId="59921FB4" w14:textId="77777777" w:rsidR="00CC44B4" w:rsidRDefault="00CC44B4" w:rsidP="00CC44B4">
      <w:pPr>
        <w:pStyle w:val="a4"/>
        <w:rPr>
          <w:rtl/>
        </w:rPr>
      </w:pPr>
      <w:r>
        <w:rPr>
          <w:rStyle w:val="a5"/>
        </w:rPr>
        <w:footnoteRef/>
      </w:r>
      <w:r>
        <w:rPr>
          <w:rtl/>
        </w:rPr>
        <w:t xml:space="preserve"> </w:t>
      </w:r>
      <w:hyperlink r:id="rId1" w:history="1">
        <w:r w:rsidRPr="00A56792">
          <w:rPr>
            <w:rFonts w:hint="cs"/>
            <w:rtl/>
          </w:rPr>
          <w:t>דיני מדינת ישראל</w:t>
        </w:r>
        <w:r>
          <w:rPr>
            <w:rFonts w:hint="cs"/>
            <w:rtl/>
          </w:rPr>
          <w:t>,</w:t>
        </w:r>
        <w:r w:rsidRPr="00A56792">
          <w:rPr>
            <w:rFonts w:hint="cs"/>
            <w:rtl/>
          </w:rPr>
          <w:t xml:space="preserve"> נוסח חדש</w:t>
        </w:r>
        <w:r>
          <w:rPr>
            <w:rFonts w:hint="cs"/>
            <w:rtl/>
          </w:rPr>
          <w:t xml:space="preserve"> </w:t>
        </w:r>
        <w:r w:rsidRPr="00A56792">
          <w:rPr>
            <w:rFonts w:hint="cs"/>
            <w:rtl/>
          </w:rPr>
          <w:t>7</w:t>
        </w:r>
      </w:hyperlink>
      <w:r>
        <w:rPr>
          <w:rFonts w:hint="cs"/>
          <w:rtl/>
        </w:rPr>
        <w:t>,</w:t>
      </w:r>
      <w:r w:rsidRPr="00A56792">
        <w:rPr>
          <w:rFonts w:hint="cs"/>
          <w:rtl/>
        </w:rPr>
        <w:t xml:space="preserve"> עמ' 173.</w:t>
      </w:r>
    </w:p>
  </w:footnote>
  <w:footnote w:id="3">
    <w:p w14:paraId="55D72F7B" w14:textId="77777777" w:rsidR="00CC44B4" w:rsidRDefault="00CC44B4" w:rsidP="00CC44B4">
      <w:pPr>
        <w:pStyle w:val="a4"/>
        <w:rPr>
          <w:rtl/>
        </w:rPr>
      </w:pPr>
      <w:r>
        <w:rPr>
          <w:rStyle w:val="a5"/>
        </w:rPr>
        <w:footnoteRef/>
      </w:r>
      <w:r>
        <w:rPr>
          <w:rtl/>
        </w:rPr>
        <w:t xml:space="preserve"> </w:t>
      </w:r>
      <w:r>
        <w:rPr>
          <w:rFonts w:hint="cs"/>
          <w:rtl/>
        </w:rPr>
        <w:t>ק"ת התשכ"א, עמ' 1425.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102B6B"/>
    <w:rsid w:val="001052D4"/>
    <w:rsid w:val="0010644B"/>
    <w:rsid w:val="001207F8"/>
    <w:rsid w:val="00121924"/>
    <w:rsid w:val="001279A8"/>
    <w:rsid w:val="0014195F"/>
    <w:rsid w:val="00152609"/>
    <w:rsid w:val="00153E1B"/>
    <w:rsid w:val="001850E8"/>
    <w:rsid w:val="001A0623"/>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84F1E"/>
    <w:rsid w:val="00386E88"/>
    <w:rsid w:val="00396585"/>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53C9D"/>
    <w:rsid w:val="00562A66"/>
    <w:rsid w:val="005B064E"/>
    <w:rsid w:val="005D51AE"/>
    <w:rsid w:val="0062674B"/>
    <w:rsid w:val="006363B2"/>
    <w:rsid w:val="00644940"/>
    <w:rsid w:val="006818A9"/>
    <w:rsid w:val="006A2D81"/>
    <w:rsid w:val="006C1D0D"/>
    <w:rsid w:val="0070601E"/>
    <w:rsid w:val="00712C72"/>
    <w:rsid w:val="00735FE9"/>
    <w:rsid w:val="00763CAA"/>
    <w:rsid w:val="00765F66"/>
    <w:rsid w:val="00775EFB"/>
    <w:rsid w:val="0078664F"/>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443CF"/>
    <w:rsid w:val="00A6611D"/>
    <w:rsid w:val="00A82CB7"/>
    <w:rsid w:val="00A942C1"/>
    <w:rsid w:val="00AA2F03"/>
    <w:rsid w:val="00AC36F7"/>
    <w:rsid w:val="00AC63A4"/>
    <w:rsid w:val="00AD239E"/>
    <w:rsid w:val="00B10265"/>
    <w:rsid w:val="00B16A99"/>
    <w:rsid w:val="00B21211"/>
    <w:rsid w:val="00B35784"/>
    <w:rsid w:val="00B733A7"/>
    <w:rsid w:val="00B75C91"/>
    <w:rsid w:val="00B975AD"/>
    <w:rsid w:val="00BC45FB"/>
    <w:rsid w:val="00BF148D"/>
    <w:rsid w:val="00C23B1A"/>
    <w:rsid w:val="00C310EB"/>
    <w:rsid w:val="00C9176A"/>
    <w:rsid w:val="00CC44B4"/>
    <w:rsid w:val="00CF1AA2"/>
    <w:rsid w:val="00D17774"/>
    <w:rsid w:val="00D63620"/>
    <w:rsid w:val="00D83131"/>
    <w:rsid w:val="00D8410D"/>
    <w:rsid w:val="00D867D7"/>
    <w:rsid w:val="00DB7060"/>
    <w:rsid w:val="00DD5576"/>
    <w:rsid w:val="00DE3153"/>
    <w:rsid w:val="00E06736"/>
    <w:rsid w:val="00E13C27"/>
    <w:rsid w:val="00E33BBD"/>
    <w:rsid w:val="00E374F2"/>
    <w:rsid w:val="00E45103"/>
    <w:rsid w:val="00E55A60"/>
    <w:rsid w:val="00E62778"/>
    <w:rsid w:val="00E63D38"/>
    <w:rsid w:val="00E665B9"/>
    <w:rsid w:val="00EA01E6"/>
    <w:rsid w:val="00EA3DE8"/>
    <w:rsid w:val="00EA758F"/>
    <w:rsid w:val="00ED4A6F"/>
    <w:rsid w:val="00EF3A3A"/>
    <w:rsid w:val="00F45802"/>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E7CC2A52-7C30-40EF-A06A-B08F5CE6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5">
    <w:name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6">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7">
    <w:name w:val="header"/>
    <w:basedOn w:val="a"/>
    <w:rsid w:val="00B975AD"/>
    <w:pPr>
      <w:tabs>
        <w:tab w:val="center" w:pos="4153"/>
        <w:tab w:val="right" w:pos="8306"/>
      </w:tabs>
    </w:pPr>
  </w:style>
  <w:style w:type="paragraph" w:styleId="a8">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9">
    <w:name w:val="Title"/>
    <w:basedOn w:val="a"/>
    <w:qFormat/>
    <w:rsid w:val="00943386"/>
    <w:pPr>
      <w:jc w:val="center"/>
    </w:pPr>
    <w:rPr>
      <w:rFonts w:cs="David"/>
      <w:b/>
      <w:bCs/>
      <w:sz w:val="28"/>
      <w:szCs w:val="28"/>
      <w:u w:val="single"/>
    </w:rPr>
  </w:style>
  <w:style w:type="character" w:styleId="aa">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b">
    <w:name w:val="Balloon Text"/>
    <w:basedOn w:val="a"/>
    <w:link w:val="ac"/>
    <w:semiHidden/>
    <w:unhideWhenUsed/>
    <w:rsid w:val="00325C14"/>
    <w:pPr>
      <w:spacing w:before="0"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evo.co.il/Law_word/law18/07.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2.xml><?xml version="1.0" encoding="utf-8"?>
<ds:datastoreItem xmlns:ds="http://schemas.openxmlformats.org/officeDocument/2006/customXml" ds:itemID="{C0454D42-A482-42C6-9A28-AA00484F0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4AFE3-9455-419C-8851-785A55F445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BBCBE8A-B668-400C-8881-9D68BBBBC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630</Words>
  <Characters>3153</Characters>
  <Application>Microsoft Office Word</Application>
  <DocSecurity>0</DocSecurity>
  <Lines>26</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רשומות</vt:lpstr>
      <vt:lpstr>רשומות</vt:lpstr>
    </vt:vector>
  </TitlesOfParts>
  <Company>Knesset</Company>
  <LinksUpToDate>false</LinksUpToDate>
  <CharactersWithSpaces>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חנה קרליץ</cp:lastModifiedBy>
  <cp:revision>9</cp:revision>
  <cp:lastPrinted>2017-11-01T12:53:00Z</cp:lastPrinted>
  <dcterms:created xsi:type="dcterms:W3CDTF">2015-04-20T09:58:00Z</dcterms:created>
  <dcterms:modified xsi:type="dcterms:W3CDTF">2017-11-02T08:36:00Z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2021837</vt:r8>
  </property>
</Properties>
</file>