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2022433</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A" w14:textId="4D3E04DF" w:rsidR="00E13C27" w:rsidRPr="00CF1AA2" w:rsidRDefault="008F6665" w:rsidP="001409B2">
      <w:pPr>
        <w:pStyle w:val="David"/>
        <w:spacing w:line="360" w:lineRule="auto"/>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מיקי רוזנטל</w:t>
      </w:r>
      <w:r>
        <w:br/>
      </w:r>
      <w:r>
        <w:rPr>
          <w:rFonts w:hint="cs"/>
          <w:b/>
          <w:bCs/>
          <w:rtl/>
        </w:rPr>
        <w:t xml:space="preserve"> </w:t>
      </w:r>
      <w:r>
        <w:tab/>
      </w:r>
      <w:r>
        <w:tab/>
      </w:r>
      <w:r>
        <w:tab/>
      </w:r>
      <w:r>
        <w:tab/>
      </w:r>
      <w:r>
        <w:rPr>
          <w:rFonts w:hint="cs"/>
          <w:b/>
          <w:bCs/>
          <w:rtl/>
        </w:rPr>
        <w:t>קארין אלהרר</w:t>
      </w:r>
      <w:r>
        <w:br/>
      </w:r>
      <w:r>
        <w:rPr>
          <w:rFonts w:hint="cs"/>
          <w:b/>
          <w:bCs/>
          <w:rtl/>
        </w:rPr>
        <w:t xml:space="preserve"> </w:t>
      </w:r>
      <w:r>
        <w:tab/>
      </w:r>
      <w:r>
        <w:tab/>
      </w:r>
      <w:r>
        <w:tab/>
      </w:r>
      <w:r>
        <w:tab/>
      </w:r>
      <w:r>
        <w:rPr>
          <w:rFonts w:hint="cs"/>
          <w:b/>
          <w:bCs/>
          <w:rtl/>
        </w:rPr>
        <w:t>אילן גילאון</w:t>
      </w:r>
      <w:r>
        <w:br/>
      </w:r>
      <w:r>
        <w:rPr>
          <w:rFonts w:hint="cs"/>
          <w:b/>
          <w:bCs/>
          <w:rtl/>
        </w:rPr>
        <w:t xml:space="preserve"> </w:t>
      </w:r>
      <w:r>
        <w:tab/>
      </w:r>
      <w:r>
        <w:tab/>
      </w:r>
      <w:r>
        <w:tab/>
      </w:r>
      <w:r>
        <w:tab/>
      </w:r>
      <w:r>
        <w:rPr>
          <w:rFonts w:hint="cs"/>
          <w:b/>
          <w:bCs/>
          <w:rtl/>
        </w:rPr>
        <w:t>יצחק הרצוג</w:t>
      </w:r>
      <w:r>
        <w:br/>
      </w:r>
      <w:r>
        <w:rPr>
          <w:rFonts w:hint="cs"/>
          <w:b/>
          <w:bCs/>
          <w:rtl/>
        </w:rPr>
        <w:t xml:space="preserve"> </w:t>
      </w:r>
      <w:r>
        <w:tab/>
      </w:r>
      <w:r>
        <w:tab/>
      </w:r>
      <w:r>
        <w:tab/>
      </w:r>
      <w:r>
        <w:tab/>
      </w:r>
      <w:r>
        <w:rPr>
          <w:rFonts w:hint="cs"/>
          <w:b/>
          <w:bCs/>
          <w:rtl/>
        </w:rPr>
        <w:t>ציפי לבני</w:t>
      </w:r>
      <w:r>
        <w:br/>
      </w:r>
      <w:r>
        <w:rPr>
          <w:rFonts w:hint="cs"/>
          <w:b/>
          <w:bCs/>
          <w:rtl/>
        </w:rPr>
        <w:t xml:space="preserve"> </w:t>
      </w:r>
      <w:r>
        <w:tab/>
      </w:r>
      <w:r>
        <w:tab/>
      </w:r>
      <w:r>
        <w:tab/>
      </w:r>
      <w:r>
        <w:tab/>
      </w:r>
      <w:r>
        <w:rPr>
          <w:rFonts w:hint="cs"/>
          <w:b/>
          <w:bCs/>
          <w:rtl/>
        </w:rPr>
        <w:t>שלי יחימוביץ'</w:t>
      </w:r>
      <w:r>
        <w:br/>
      </w:r>
      <w:r>
        <w:rPr>
          <w:rFonts w:hint="cs"/>
          <w:b/>
          <w:bCs/>
          <w:rtl/>
        </w:rPr>
        <w:t xml:space="preserve"> </w:t>
      </w:r>
      <w:r>
        <w:tab/>
      </w:r>
      <w:r>
        <w:tab/>
      </w:r>
      <w:r>
        <w:tab/>
      </w:r>
      <w:r>
        <w:tab/>
      </w:r>
      <w:r>
        <w:rPr>
          <w:rFonts w:hint="cs"/>
          <w:b/>
          <w:bCs/>
          <w:rtl/>
        </w:rPr>
        <w:t>סתיו שפיר</w:t>
      </w:r>
      <w:r>
        <w:br/>
      </w:r>
      <w:r>
        <w:rPr>
          <w:rFonts w:hint="cs"/>
          <w:b/>
          <w:bCs/>
          <w:rtl/>
        </w:rPr>
        <w:t xml:space="preserve"> </w:t>
      </w:r>
      <w:r>
        <w:tab/>
      </w:r>
      <w:r>
        <w:tab/>
      </w:r>
      <w:r>
        <w:tab/>
      </w:r>
      <w:r>
        <w:tab/>
      </w:r>
      <w:r>
        <w:rPr>
          <w:rFonts w:hint="cs"/>
          <w:b/>
          <w:bCs/>
          <w:rtl/>
        </w:rPr>
        <w:t>איציק שמולי</w:t>
      </w:r>
      <w:r>
        <w:br/>
      </w:r>
      <w:r>
        <w:rPr>
          <w:rFonts w:hint="cs"/>
          <w:b/>
          <w:bCs/>
          <w:rtl/>
        </w:rPr>
        <w:t xml:space="preserve"> </w:t>
      </w:r>
      <w:r>
        <w:tab/>
      </w:r>
      <w:r>
        <w:tab/>
      </w:r>
      <w:r>
        <w:tab/>
      </w:r>
      <w:r>
        <w:tab/>
      </w:r>
      <w:r>
        <w:rPr>
          <w:rFonts w:hint="cs"/>
          <w:b/>
          <w:bCs/>
          <w:rtl/>
        </w:rPr>
        <w:t>עמר בר-לב</w:t>
      </w:r>
      <w:r>
        <w:br/>
      </w:r>
      <w:r>
        <w:rPr>
          <w:rFonts w:hint="cs"/>
          <w:b/>
          <w:bCs/>
          <w:rtl/>
        </w:rPr>
        <w:t xml:space="preserve"> </w:t>
      </w:r>
      <w:r>
        <w:tab/>
      </w:r>
      <w:r>
        <w:tab/>
      </w:r>
      <w:r>
        <w:tab/>
      </w:r>
      <w:r>
        <w:tab/>
      </w:r>
      <w:r>
        <w:rPr>
          <w:rFonts w:hint="cs"/>
          <w:b/>
          <w:bCs/>
          <w:rtl/>
        </w:rPr>
        <w:t>יחיאל חיליק בר</w:t>
      </w:r>
      <w:r>
        <w:br/>
      </w:r>
      <w:r>
        <w:rPr>
          <w:rFonts w:hint="cs"/>
          <w:b/>
          <w:bCs/>
          <w:rtl/>
        </w:rPr>
        <w:t xml:space="preserve"> </w:t>
      </w:r>
      <w:r>
        <w:tab/>
      </w:r>
      <w:r>
        <w:tab/>
      </w:r>
      <w:r>
        <w:tab/>
      </w:r>
      <w:r>
        <w:tab/>
      </w:r>
      <w:r>
        <w:rPr>
          <w:rFonts w:hint="cs"/>
          <w:b/>
          <w:bCs/>
          <w:rtl/>
        </w:rPr>
        <w:t>עמיר פרץ</w:t>
      </w:r>
      <w:r>
        <w:br/>
      </w:r>
      <w:r>
        <w:rPr>
          <w:rFonts w:hint="cs"/>
          <w:b/>
          <w:bCs/>
          <w:rtl/>
        </w:rPr>
        <w:t xml:space="preserve"> </w:t>
      </w:r>
      <w:r>
        <w:tab/>
      </w:r>
      <w:r>
        <w:tab/>
      </w:r>
      <w:r>
        <w:tab/>
      </w:r>
      <w:r>
        <w:tab/>
      </w:r>
      <w:r>
        <w:rPr>
          <w:rFonts w:hint="cs"/>
          <w:b/>
          <w:bCs/>
          <w:rtl/>
        </w:rPr>
        <w:t>מרב מיכאלי</w:t>
      </w:r>
      <w:r>
        <w:br/>
      </w:r>
      <w:r>
        <w:rPr>
          <w:rFonts w:hint="cs"/>
          <w:b/>
          <w:bCs/>
          <w:rtl/>
        </w:rPr>
        <w:t xml:space="preserve"> </w:t>
      </w:r>
      <w:r>
        <w:tab/>
      </w:r>
      <w:r>
        <w:tab/>
      </w:r>
      <w:r>
        <w:tab/>
      </w:r>
      <w:r>
        <w:tab/>
      </w:r>
      <w:r>
        <w:rPr>
          <w:rFonts w:hint="cs"/>
          <w:b/>
          <w:bCs/>
          <w:rtl/>
        </w:rPr>
        <w:t>איתן כבל</w:t>
      </w:r>
      <w:r>
        <w:br/>
      </w:r>
      <w:r>
        <w:rPr>
          <w:rFonts w:hint="cs"/>
          <w:b/>
          <w:bCs/>
          <w:rtl/>
        </w:rPr>
        <w:t xml:space="preserve"> </w:t>
      </w:r>
      <w:r>
        <w:tab/>
      </w:r>
      <w:r>
        <w:tab/>
      </w:r>
      <w:r>
        <w:tab/>
      </w:r>
      <w:r>
        <w:tab/>
      </w:r>
      <w:r>
        <w:rPr>
          <w:rFonts w:hint="cs"/>
          <w:b/>
          <w:bCs/>
          <w:rtl/>
        </w:rPr>
        <w:t>רויטל סויד</w:t>
      </w:r>
      <w:r>
        <w:br/>
      </w:r>
      <w:r>
        <w:rPr>
          <w:rFonts w:hint="cs"/>
          <w:b/>
          <w:bCs/>
          <w:rtl/>
        </w:rPr>
        <w:t xml:space="preserve"> </w:t>
      </w:r>
      <w:r>
        <w:tab/>
      </w:r>
      <w:r>
        <w:tab/>
      </w:r>
      <w:r>
        <w:tab/>
      </w:r>
      <w:r>
        <w:tab/>
      </w:r>
      <w:r>
        <w:rPr>
          <w:rFonts w:hint="cs"/>
          <w:b/>
          <w:bCs/>
          <w:rtl/>
        </w:rPr>
        <w:t>יואל חסון</w:t>
      </w:r>
      <w:r>
        <w:br/>
      </w:r>
      <w:r>
        <w:rPr>
          <w:rFonts w:hint="cs"/>
          <w:b/>
          <w:bCs/>
          <w:rtl/>
        </w:rPr>
        <w:t xml:space="preserve"> </w:t>
      </w:r>
      <w:r>
        <w:tab/>
      </w:r>
      <w:r>
        <w:tab/>
      </w:r>
      <w:r>
        <w:tab/>
      </w:r>
      <w:r>
        <w:tab/>
      </w:r>
      <w:r>
        <w:rPr>
          <w:rFonts w:hint="cs"/>
          <w:b/>
          <w:bCs/>
          <w:rtl/>
        </w:rPr>
        <w:t>זוהיר בהלול</w:t>
      </w:r>
      <w:r>
        <w:br/>
      </w:r>
      <w:r>
        <w:rPr>
          <w:rFonts w:hint="cs"/>
          <w:b/>
          <w:bCs/>
          <w:rtl/>
        </w:rPr>
        <w:t xml:space="preserve"> </w:t>
      </w:r>
      <w:r>
        <w:tab/>
      </w:r>
      <w:r>
        <w:tab/>
      </w:r>
      <w:r>
        <w:tab/>
      </w:r>
      <w:r>
        <w:tab/>
      </w:r>
      <w:r>
        <w:rPr>
          <w:rFonts w:hint="cs"/>
          <w:b/>
          <w:bCs/>
          <w:rtl/>
        </w:rPr>
        <w:t>איתן ברושי</w:t>
      </w:r>
      <w:r>
        <w:br/>
      </w:r>
      <w:r>
        <w:rPr>
          <w:rFonts w:hint="cs"/>
          <w:b/>
          <w:bCs/>
          <w:rtl/>
        </w:rPr>
        <w:t xml:space="preserve"> </w:t>
      </w:r>
      <w:r>
        <w:tab/>
      </w:r>
      <w:r>
        <w:tab/>
      </w:r>
      <w:r>
        <w:tab/>
      </w:r>
      <w:r>
        <w:tab/>
      </w:r>
      <w:r>
        <w:rPr>
          <w:rFonts w:hint="cs"/>
          <w:b/>
          <w:bCs/>
          <w:rtl/>
        </w:rPr>
        <w:t>מיכל בירן</w:t>
      </w:r>
      <w:r>
        <w:br/>
      </w:r>
      <w:r>
        <w:rPr>
          <w:rFonts w:hint="cs"/>
          <w:b/>
          <w:bCs/>
          <w:rtl/>
        </w:rPr>
        <w:t xml:space="preserve"> </w:t>
      </w:r>
      <w:r>
        <w:tab/>
      </w:r>
      <w:r>
        <w:tab/>
      </w:r>
      <w:r>
        <w:tab/>
      </w:r>
      <w:r>
        <w:tab/>
      </w:r>
      <w:r>
        <w:rPr>
          <w:rFonts w:hint="cs"/>
          <w:b/>
          <w:bCs/>
          <w:rtl/>
        </w:rPr>
        <w:t>נחמן שי</w:t>
      </w:r>
      <w:r>
        <w:br/>
      </w:r>
      <w:r>
        <w:rPr>
          <w:rFonts w:hint="cs"/>
          <w:b/>
          <w:bCs/>
          <w:rtl/>
        </w:rPr>
        <w:t xml:space="preserve"> </w:t>
      </w:r>
      <w:r>
        <w:tab/>
      </w:r>
      <w:r>
        <w:tab/>
      </w:r>
      <w:r>
        <w:tab/>
      </w:r>
      <w:r>
        <w:tab/>
      </w:r>
      <w:r>
        <w:rPr>
          <w:rFonts w:hint="cs"/>
          <w:b/>
          <w:bCs/>
          <w:rtl/>
        </w:rPr>
        <w:t>קסניה סבטלובה</w:t>
      </w:r>
      <w:r>
        <w:br/>
      </w:r>
      <w:r>
        <w:rPr>
          <w:rFonts w:hint="cs"/>
          <w:b/>
          <w:bCs/>
          <w:rtl/>
        </w:rPr>
        <w:t xml:space="preserve"> </w:t>
      </w:r>
      <w:r>
        <w:tab/>
      </w:r>
      <w:r>
        <w:tab/>
      </w:r>
      <w:r>
        <w:tab/>
      </w:r>
      <w:r>
        <w:tab/>
      </w:r>
      <w:r>
        <w:rPr>
          <w:rFonts w:hint="cs"/>
          <w:b/>
          <w:bCs/>
          <w:rtl/>
        </w:rPr>
        <w:t>איילת נחמיאס ורבין</w:t>
      </w:r>
      <w:r>
        <w:br/>
      </w:r>
      <w:r>
        <w:rPr>
          <w:rFonts w:hint="cs"/>
          <w:b/>
          <w:bCs/>
          <w:rtl/>
        </w:rPr>
        <w:t xml:space="preserve"> </w:t>
      </w:r>
      <w:r>
        <w:tab/>
      </w:r>
      <w:r>
        <w:tab/>
      </w:r>
      <w:r>
        <w:tab/>
      </w:r>
      <w:r>
        <w:tab/>
      </w:r>
      <w:r>
        <w:rPr>
          <w:rFonts w:hint="cs"/>
          <w:b/>
          <w:bCs/>
          <w:rtl/>
        </w:rPr>
        <w:t>יוסי יונה</w:t>
      </w:r>
      <w:r>
        <w:br/>
      </w:r>
      <w:r>
        <w:rPr>
          <w:rFonts w:hint="cs"/>
          <w:b/>
          <w:bCs/>
          <w:rtl/>
        </w:rPr>
        <w:t xml:space="preserve"> </w:t>
      </w:r>
      <w:r>
        <w:tab/>
      </w:r>
      <w:r>
        <w:tab/>
      </w:r>
      <w:r>
        <w:tab/>
      </w:r>
      <w:r>
        <w:tab/>
      </w:r>
      <w:r>
        <w:rPr>
          <w:rFonts w:hint="cs"/>
          <w:b/>
          <w:bCs/>
          <w:rtl/>
        </w:rPr>
        <w:t>איל בן ראובן</w:t>
      </w:r>
      <w:r>
        <w:br/>
      </w:r>
      <w:r>
        <w:rPr>
          <w:rFonts w:hint="cs"/>
          <w:b/>
          <w:bCs/>
          <w:rtl/>
        </w:rPr>
        <w:t xml:space="preserve"> </w:t>
      </w:r>
      <w:r>
        <w:tab/>
      </w:r>
      <w:r>
        <w:tab/>
      </w:r>
      <w:r>
        <w:tab/>
      </w:r>
      <w:r>
        <w:tab/>
      </w:r>
      <w:r>
        <w:rPr>
          <w:rFonts w:hint="cs"/>
          <w:b/>
          <w:bCs/>
          <w:rtl/>
        </w:rPr>
        <w:t>יעל כהן-פארן</w:t>
      </w:r>
      <w:r>
        <w:br/>
      </w:r>
      <w:r>
        <w:rPr>
          <w:rFonts w:hint="cs"/>
          <w:b/>
          <w:bCs/>
          <w:rtl/>
        </w:rPr>
        <w:t xml:space="preserve"> </w:t>
      </w:r>
      <w:r>
        <w:tab/>
      </w:r>
      <w:r>
        <w:tab/>
      </w:r>
      <w:r>
        <w:tab/>
      </w:r>
      <w:r>
        <w:tab/>
      </w:r>
      <w:r>
        <w:rPr>
          <w:rFonts w:hint="cs"/>
          <w:b/>
          <w:bCs/>
          <w:rtl/>
        </w:rPr>
        <w:t>סאלח סעד</w:t>
      </w:r>
      <w:r>
        <w:br/>
      </w:r>
      <w:r>
        <w:rPr>
          <w:rFonts w:hint="cs"/>
          <w:b/>
          <w:bCs/>
          <w:rtl/>
        </w:rPr>
        <w:t xml:space="preserve"> </w:t>
      </w:r>
      <w:r>
        <w:tab/>
      </w:r>
      <w:r>
        <w:tab/>
      </w:r>
      <w:r>
        <w:tab/>
      </w:r>
      <w:r>
        <w:tab/>
      </w:r>
      <w:r>
        <w:rPr>
          <w:rFonts w:hint="cs"/>
          <w:b/>
          <w:bCs/>
          <w:rtl/>
        </w:rPr>
        <w:t>לאה פדידה</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17E4D9AE" w:rsidR="00904591" w:rsidRPr="001409B2" w:rsidRDefault="00266D86" w:rsidP="0036422C">
      <w:pPr>
        <w:pStyle w:val="David"/>
        <w:spacing w:before="0" w:line="360" w:lineRule="auto"/>
        <w:ind w:left="3544"/>
        <w:rPr>
          <w:rFonts w:hint="cs"/>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r w:rsidR="001409B2">
        <w:rPr>
          <w:rFonts w:hint="cs"/>
          <w:rtl/>
        </w:rPr>
        <w:t>פ/4696/20</w:t>
      </w:r>
    </w:p>
    <w:p w14:paraId="7F6961AD" w14:textId="280E765D" w:rsidR="00E13C27" w:rsidRDefault="00A443CF" w:rsidP="007267F6">
      <w:pPr>
        <w:pStyle w:val="HeadHatzaotHok"/>
        <w:rPr>
          <w:rtl/>
        </w:rPr>
      </w:pPr>
      <w:bookmarkStart w:id="6" w:name="LGS_Subject"/>
      <w:r>
        <w:rPr>
          <w:rFonts w:hint="cs"/>
          <w:rtl/>
        </w:rPr>
        <w:t>הצעת חוק להעלאת קצבאות הנכים, התשע"ח–2017</w:t>
      </w:r>
      <w:bookmarkEnd w:id="6"/>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7267F6" w14:paraId="10411E23" w14:textId="77777777" w:rsidTr="003D49EF">
        <w:trPr>
          <w:cantSplit/>
          <w:trHeight w:val="60"/>
        </w:trPr>
        <w:tc>
          <w:tcPr>
            <w:tcW w:w="1871" w:type="dxa"/>
          </w:tcPr>
          <w:p w14:paraId="23CDE413" w14:textId="77777777" w:rsidR="007267F6" w:rsidRDefault="007267F6" w:rsidP="003D49EF">
            <w:pPr>
              <w:pStyle w:val="TableSideHeading"/>
              <w:keepLines w:val="0"/>
            </w:pPr>
            <w:r>
              <w:rPr>
                <w:rFonts w:hint="cs"/>
                <w:sz w:val="26"/>
                <w:rtl/>
              </w:rPr>
              <w:t>הגדרות</w:t>
            </w:r>
          </w:p>
        </w:tc>
        <w:tc>
          <w:tcPr>
            <w:tcW w:w="624" w:type="dxa"/>
          </w:tcPr>
          <w:p w14:paraId="2CB36E04" w14:textId="77777777" w:rsidR="007267F6" w:rsidRDefault="007267F6" w:rsidP="003D49EF">
            <w:pPr>
              <w:pStyle w:val="TableText"/>
              <w:keepLines w:val="0"/>
            </w:pPr>
            <w:r>
              <w:rPr>
                <w:rFonts w:hint="cs"/>
                <w:rtl/>
              </w:rPr>
              <w:t>1.</w:t>
            </w:r>
          </w:p>
        </w:tc>
        <w:tc>
          <w:tcPr>
            <w:tcW w:w="7146" w:type="dxa"/>
            <w:gridSpan w:val="3"/>
          </w:tcPr>
          <w:p w14:paraId="7A90635F" w14:textId="77777777" w:rsidR="007267F6" w:rsidRDefault="007267F6" w:rsidP="003D49EF">
            <w:pPr>
              <w:pStyle w:val="TableBlock"/>
              <w:keepLines w:val="0"/>
            </w:pPr>
            <w:r>
              <w:rPr>
                <w:rFonts w:hint="cs"/>
                <w:rtl/>
              </w:rPr>
              <w:t>בחוק זה –</w:t>
            </w:r>
          </w:p>
        </w:tc>
      </w:tr>
      <w:tr w:rsidR="007267F6" w14:paraId="2A182E09" w14:textId="77777777" w:rsidTr="003D49EF">
        <w:trPr>
          <w:cantSplit/>
          <w:trHeight w:val="60"/>
        </w:trPr>
        <w:tc>
          <w:tcPr>
            <w:tcW w:w="1871" w:type="dxa"/>
          </w:tcPr>
          <w:p w14:paraId="2D2DEA79" w14:textId="77777777" w:rsidR="007267F6" w:rsidRDefault="007267F6" w:rsidP="003D49EF">
            <w:pPr>
              <w:pStyle w:val="TableSideHeading"/>
              <w:keepLines w:val="0"/>
              <w:rPr>
                <w:sz w:val="26"/>
                <w:rtl/>
              </w:rPr>
            </w:pPr>
          </w:p>
        </w:tc>
        <w:tc>
          <w:tcPr>
            <w:tcW w:w="624" w:type="dxa"/>
          </w:tcPr>
          <w:p w14:paraId="558901EB" w14:textId="77777777" w:rsidR="007267F6" w:rsidRDefault="007267F6" w:rsidP="003D49EF">
            <w:pPr>
              <w:pStyle w:val="TableText"/>
              <w:keepLines w:val="0"/>
              <w:rPr>
                <w:rtl/>
              </w:rPr>
            </w:pPr>
          </w:p>
        </w:tc>
        <w:tc>
          <w:tcPr>
            <w:tcW w:w="7146" w:type="dxa"/>
            <w:gridSpan w:val="3"/>
          </w:tcPr>
          <w:p w14:paraId="041B65AC" w14:textId="77777777" w:rsidR="007267F6" w:rsidRPr="00781287" w:rsidRDefault="007267F6" w:rsidP="003D49EF">
            <w:pPr>
              <w:pStyle w:val="TableBlockOutdent"/>
              <w:rPr>
                <w:rtl/>
              </w:rPr>
            </w:pPr>
            <w:r>
              <w:rPr>
                <w:rFonts w:hint="cs"/>
                <w:rtl/>
              </w:rPr>
              <w:t xml:space="preserve">"הוועדה" </w:t>
            </w:r>
            <w:r>
              <w:rPr>
                <w:rFonts w:hint="eastAsia"/>
                <w:rtl/>
              </w:rPr>
              <w:t>–</w:t>
            </w:r>
            <w:r>
              <w:rPr>
                <w:rFonts w:hint="cs"/>
                <w:rtl/>
              </w:rPr>
              <w:t xml:space="preserve"> ועדת העבודה, הרווחה והבריאות של הכנסת;</w:t>
            </w:r>
          </w:p>
        </w:tc>
      </w:tr>
      <w:tr w:rsidR="007267F6" w14:paraId="30E09968" w14:textId="77777777" w:rsidTr="003D49EF">
        <w:trPr>
          <w:cantSplit/>
          <w:trHeight w:val="60"/>
        </w:trPr>
        <w:tc>
          <w:tcPr>
            <w:tcW w:w="1871" w:type="dxa"/>
          </w:tcPr>
          <w:p w14:paraId="7CAACBBC" w14:textId="77777777" w:rsidR="007267F6" w:rsidRDefault="007267F6" w:rsidP="003D49EF">
            <w:pPr>
              <w:pStyle w:val="TableSideHeading"/>
              <w:keepLines w:val="0"/>
              <w:rPr>
                <w:sz w:val="26"/>
                <w:rtl/>
              </w:rPr>
            </w:pPr>
          </w:p>
        </w:tc>
        <w:tc>
          <w:tcPr>
            <w:tcW w:w="624" w:type="dxa"/>
          </w:tcPr>
          <w:p w14:paraId="3F56DB8A" w14:textId="77777777" w:rsidR="007267F6" w:rsidRDefault="007267F6" w:rsidP="003D49EF">
            <w:pPr>
              <w:pStyle w:val="TableText"/>
              <w:keepLines w:val="0"/>
              <w:rPr>
                <w:rtl/>
              </w:rPr>
            </w:pPr>
          </w:p>
        </w:tc>
        <w:tc>
          <w:tcPr>
            <w:tcW w:w="7146" w:type="dxa"/>
            <w:gridSpan w:val="3"/>
          </w:tcPr>
          <w:p w14:paraId="02311ADF" w14:textId="77777777" w:rsidR="007267F6" w:rsidRPr="00781287" w:rsidRDefault="007267F6" w:rsidP="003D49EF">
            <w:pPr>
              <w:pStyle w:val="TableBlockOutdent"/>
              <w:rPr>
                <w:rtl/>
              </w:rPr>
            </w:pPr>
            <w:r w:rsidRPr="00781287">
              <w:rPr>
                <w:rFonts w:hint="cs"/>
                <w:rtl/>
              </w:rPr>
              <w:t xml:space="preserve">"חוק הביטוח הלאומי" </w:t>
            </w:r>
            <w:r w:rsidRPr="00781287">
              <w:rPr>
                <w:rFonts w:hint="eastAsia"/>
                <w:rtl/>
              </w:rPr>
              <w:t>–</w:t>
            </w:r>
            <w:r w:rsidRPr="00781287">
              <w:rPr>
                <w:rFonts w:hint="cs"/>
                <w:rtl/>
              </w:rPr>
              <w:t xml:space="preserve"> חוק הביטוח הל</w:t>
            </w:r>
            <w:r>
              <w:rPr>
                <w:rFonts w:hint="cs"/>
                <w:rtl/>
              </w:rPr>
              <w:t>א</w:t>
            </w:r>
            <w:r w:rsidRPr="00781287">
              <w:rPr>
                <w:rFonts w:hint="cs"/>
                <w:rtl/>
              </w:rPr>
              <w:t>ומי [נוסח משולב], התשנ"ה</w:t>
            </w:r>
            <w:r w:rsidRPr="00781287">
              <w:rPr>
                <w:rFonts w:hint="eastAsia"/>
                <w:rtl/>
              </w:rPr>
              <w:t>–</w:t>
            </w:r>
            <w:r w:rsidRPr="00781287">
              <w:rPr>
                <w:rtl/>
              </w:rPr>
              <w:t>1995</w:t>
            </w:r>
            <w:r w:rsidRPr="00993214">
              <w:rPr>
                <w:szCs w:val="20"/>
                <w:rtl/>
              </w:rPr>
              <w:footnoteReference w:id="2"/>
            </w:r>
            <w:r w:rsidRPr="00781287">
              <w:rPr>
                <w:rFonts w:hint="cs"/>
                <w:rtl/>
              </w:rPr>
              <w:t>;</w:t>
            </w:r>
          </w:p>
        </w:tc>
      </w:tr>
      <w:tr w:rsidR="007267F6" w14:paraId="3B21A918" w14:textId="77777777" w:rsidTr="003D49EF">
        <w:trPr>
          <w:cantSplit/>
          <w:trHeight w:val="60"/>
        </w:trPr>
        <w:tc>
          <w:tcPr>
            <w:tcW w:w="1871" w:type="dxa"/>
          </w:tcPr>
          <w:p w14:paraId="3369EDB2" w14:textId="77777777" w:rsidR="007267F6" w:rsidRDefault="007267F6" w:rsidP="003D49EF">
            <w:pPr>
              <w:pStyle w:val="TableSideHeading"/>
              <w:keepLines w:val="0"/>
              <w:rPr>
                <w:sz w:val="26"/>
                <w:rtl/>
              </w:rPr>
            </w:pPr>
          </w:p>
        </w:tc>
        <w:tc>
          <w:tcPr>
            <w:tcW w:w="624" w:type="dxa"/>
          </w:tcPr>
          <w:p w14:paraId="01D09804" w14:textId="77777777" w:rsidR="007267F6" w:rsidRDefault="007267F6" w:rsidP="003D49EF">
            <w:pPr>
              <w:pStyle w:val="TableText"/>
              <w:keepLines w:val="0"/>
              <w:rPr>
                <w:rtl/>
              </w:rPr>
            </w:pPr>
          </w:p>
        </w:tc>
        <w:tc>
          <w:tcPr>
            <w:tcW w:w="7146" w:type="dxa"/>
            <w:gridSpan w:val="3"/>
          </w:tcPr>
          <w:p w14:paraId="3A647678" w14:textId="77777777" w:rsidR="007267F6" w:rsidRDefault="007267F6" w:rsidP="003D49EF">
            <w:pPr>
              <w:pStyle w:val="TableBlock"/>
              <w:keepLines w:val="0"/>
              <w:rPr>
                <w:rtl/>
              </w:rPr>
            </w:pPr>
            <w:r>
              <w:rPr>
                <w:rFonts w:hint="cs"/>
                <w:rtl/>
              </w:rPr>
              <w:t xml:space="preserve">"נכה" </w:t>
            </w:r>
            <w:r>
              <w:rPr>
                <w:rFonts w:hint="eastAsia"/>
                <w:rtl/>
              </w:rPr>
              <w:t xml:space="preserve">– מי שזכאי לגמלה לפי פרק ט' </w:t>
            </w:r>
            <w:r>
              <w:rPr>
                <w:rFonts w:hint="cs"/>
                <w:rtl/>
              </w:rPr>
              <w:t>ל</w:t>
            </w:r>
            <w:r>
              <w:rPr>
                <w:rFonts w:hint="eastAsia"/>
                <w:rtl/>
              </w:rPr>
              <w:t>חוק הביטוח הלאומי</w:t>
            </w:r>
            <w:r>
              <w:rPr>
                <w:rFonts w:hint="cs"/>
                <w:rtl/>
              </w:rPr>
              <w:t>;</w:t>
            </w:r>
          </w:p>
        </w:tc>
      </w:tr>
      <w:tr w:rsidR="007267F6" w14:paraId="65398AA5" w14:textId="77777777" w:rsidTr="003D49EF">
        <w:trPr>
          <w:cantSplit/>
          <w:trHeight w:val="60"/>
        </w:trPr>
        <w:tc>
          <w:tcPr>
            <w:tcW w:w="1871" w:type="dxa"/>
          </w:tcPr>
          <w:p w14:paraId="1560E3D9" w14:textId="77777777" w:rsidR="007267F6" w:rsidRDefault="007267F6" w:rsidP="003D49EF">
            <w:pPr>
              <w:pStyle w:val="TableSideHeading"/>
              <w:keepLines w:val="0"/>
              <w:rPr>
                <w:sz w:val="26"/>
                <w:rtl/>
              </w:rPr>
            </w:pPr>
          </w:p>
        </w:tc>
        <w:tc>
          <w:tcPr>
            <w:tcW w:w="624" w:type="dxa"/>
          </w:tcPr>
          <w:p w14:paraId="4111C569" w14:textId="77777777" w:rsidR="007267F6" w:rsidRDefault="007267F6" w:rsidP="003D49EF">
            <w:pPr>
              <w:pStyle w:val="TableText"/>
              <w:keepLines w:val="0"/>
              <w:rPr>
                <w:rtl/>
              </w:rPr>
            </w:pPr>
          </w:p>
        </w:tc>
        <w:tc>
          <w:tcPr>
            <w:tcW w:w="7146" w:type="dxa"/>
            <w:gridSpan w:val="3"/>
          </w:tcPr>
          <w:p w14:paraId="61CF3538" w14:textId="417FB743" w:rsidR="007267F6" w:rsidRDefault="007267F6" w:rsidP="003D49EF">
            <w:pPr>
              <w:pStyle w:val="TableBlock"/>
              <w:keepLines w:val="0"/>
              <w:rPr>
                <w:rtl/>
              </w:rPr>
            </w:pPr>
            <w:r>
              <w:rPr>
                <w:rFonts w:hint="cs"/>
                <w:rtl/>
              </w:rPr>
              <w:t xml:space="preserve">"השר" </w:t>
            </w:r>
            <w:r>
              <w:rPr>
                <w:rFonts w:hint="eastAsia"/>
                <w:rtl/>
              </w:rPr>
              <w:t>–</w:t>
            </w:r>
            <w:r>
              <w:rPr>
                <w:rFonts w:hint="cs"/>
                <w:rtl/>
              </w:rPr>
              <w:t xml:space="preserve"> שר העבודה</w:t>
            </w:r>
            <w:r w:rsidR="001409B2">
              <w:rPr>
                <w:rFonts w:hint="cs"/>
                <w:rtl/>
              </w:rPr>
              <w:t>,</w:t>
            </w:r>
            <w:r>
              <w:rPr>
                <w:rFonts w:hint="cs"/>
                <w:rtl/>
              </w:rPr>
              <w:t xml:space="preserve"> הרווחה והשירותים החברתיים.</w:t>
            </w:r>
          </w:p>
        </w:tc>
      </w:tr>
      <w:tr w:rsidR="007267F6" w:rsidRPr="00F81628" w14:paraId="41F78457" w14:textId="77777777" w:rsidTr="003D49EF">
        <w:trPr>
          <w:cantSplit/>
          <w:trHeight w:val="60"/>
        </w:trPr>
        <w:tc>
          <w:tcPr>
            <w:tcW w:w="1871" w:type="dxa"/>
          </w:tcPr>
          <w:p w14:paraId="6B88CBF5" w14:textId="77777777" w:rsidR="007267F6" w:rsidRDefault="007267F6" w:rsidP="003D49EF">
            <w:pPr>
              <w:pStyle w:val="TableSideHeading"/>
              <w:keepLines w:val="0"/>
              <w:rPr>
                <w:sz w:val="26"/>
                <w:rtl/>
              </w:rPr>
            </w:pPr>
            <w:r>
              <w:rPr>
                <w:rFonts w:hint="cs"/>
                <w:sz w:val="26"/>
                <w:rtl/>
              </w:rPr>
              <w:t>העלאת קצבאות הנכים</w:t>
            </w:r>
          </w:p>
        </w:tc>
        <w:tc>
          <w:tcPr>
            <w:tcW w:w="624" w:type="dxa"/>
          </w:tcPr>
          <w:p w14:paraId="7A05650B" w14:textId="77777777" w:rsidR="007267F6" w:rsidRDefault="007267F6" w:rsidP="003D49EF">
            <w:pPr>
              <w:pStyle w:val="TableText"/>
              <w:rPr>
                <w:rtl/>
              </w:rPr>
            </w:pPr>
            <w:r>
              <w:rPr>
                <w:rFonts w:hint="cs"/>
                <w:rtl/>
              </w:rPr>
              <w:t>2.</w:t>
            </w:r>
          </w:p>
        </w:tc>
        <w:tc>
          <w:tcPr>
            <w:tcW w:w="7146" w:type="dxa"/>
            <w:gridSpan w:val="3"/>
          </w:tcPr>
          <w:p w14:paraId="3C025EB1" w14:textId="08FBD68D" w:rsidR="007267F6" w:rsidRPr="00F81628" w:rsidRDefault="007267F6" w:rsidP="003D49EF">
            <w:pPr>
              <w:pStyle w:val="TableBlock"/>
              <w:keepLines w:val="0"/>
              <w:rPr>
                <w:rtl/>
              </w:rPr>
            </w:pPr>
            <w:r>
              <w:rPr>
                <w:rFonts w:hint="cs"/>
                <w:rtl/>
              </w:rPr>
              <w:t>(א)</w:t>
            </w:r>
            <w:r>
              <w:rPr>
                <w:rtl/>
              </w:rPr>
              <w:tab/>
            </w:r>
            <w:r w:rsidRPr="00F81628">
              <w:rPr>
                <w:rFonts w:hint="eastAsia"/>
                <w:rtl/>
              </w:rPr>
              <w:t>קצבאות</w:t>
            </w:r>
            <w:r w:rsidRPr="00F81628">
              <w:rPr>
                <w:rtl/>
              </w:rPr>
              <w:t xml:space="preserve"> המשולמות לנכה לפי פרק ט' לחוק הביטוח הלאומי </w:t>
            </w:r>
            <w:r>
              <w:rPr>
                <w:rFonts w:hint="cs"/>
                <w:rtl/>
              </w:rPr>
              <w:t xml:space="preserve">(בסעיף זה </w:t>
            </w:r>
            <w:r>
              <w:rPr>
                <w:rFonts w:hint="eastAsia"/>
                <w:rtl/>
              </w:rPr>
              <w:t>–</w:t>
            </w:r>
            <w:r>
              <w:rPr>
                <w:rFonts w:hint="cs"/>
                <w:rtl/>
              </w:rPr>
              <w:t xml:space="preserve">  קצבאות) </w:t>
            </w:r>
            <w:r w:rsidRPr="00F81628">
              <w:rPr>
                <w:rFonts w:hint="eastAsia"/>
                <w:rtl/>
              </w:rPr>
              <w:t>יוגדלו</w:t>
            </w:r>
            <w:r w:rsidRPr="00F81628">
              <w:rPr>
                <w:rtl/>
              </w:rPr>
              <w:t xml:space="preserve"> </w:t>
            </w:r>
            <w:r>
              <w:rPr>
                <w:rFonts w:hint="cs"/>
                <w:rtl/>
              </w:rPr>
              <w:t xml:space="preserve">באופן הדרגתי במהלך ארבע שנים </w:t>
            </w:r>
            <w:r w:rsidR="001409B2">
              <w:rPr>
                <w:rFonts w:hint="cs"/>
                <w:rtl/>
              </w:rPr>
              <w:t xml:space="preserve">החל מיום </w:t>
            </w:r>
            <w:r w:rsidRPr="003D49EF">
              <w:rPr>
                <w:rFonts w:hint="cs"/>
                <w:rtl/>
              </w:rPr>
              <w:t xml:space="preserve">י"ד בטבת התשע"ח (1 בינואר 2018) </w:t>
            </w:r>
            <w:r>
              <w:rPr>
                <w:rFonts w:hint="cs"/>
                <w:rtl/>
              </w:rPr>
              <w:t>בהתאם לתנאים, לשיעורים ולמועדים שיקבע השר באישור הוועדה</w:t>
            </w:r>
            <w:r w:rsidR="001409B2">
              <w:rPr>
                <w:rFonts w:hint="cs"/>
                <w:rtl/>
              </w:rPr>
              <w:t>,</w:t>
            </w:r>
            <w:r>
              <w:rPr>
                <w:rFonts w:hint="cs"/>
                <w:rtl/>
              </w:rPr>
              <w:t xml:space="preserve"> ובכפוף להוראות שלהלן:</w:t>
            </w:r>
          </w:p>
        </w:tc>
      </w:tr>
      <w:tr w:rsidR="007267F6" w14:paraId="3CE74EA7" w14:textId="77777777" w:rsidTr="003D49EF">
        <w:trPr>
          <w:cantSplit/>
          <w:trHeight w:val="60"/>
        </w:trPr>
        <w:tc>
          <w:tcPr>
            <w:tcW w:w="1871" w:type="dxa"/>
          </w:tcPr>
          <w:p w14:paraId="4F9CE7DA" w14:textId="77777777" w:rsidR="007267F6" w:rsidRDefault="007267F6" w:rsidP="003D49EF">
            <w:pPr>
              <w:pStyle w:val="TableSideHeading"/>
              <w:ind w:right="0"/>
              <w:rPr>
                <w:sz w:val="26"/>
                <w:rtl/>
              </w:rPr>
            </w:pPr>
          </w:p>
        </w:tc>
        <w:tc>
          <w:tcPr>
            <w:tcW w:w="624" w:type="dxa"/>
          </w:tcPr>
          <w:p w14:paraId="517785C3" w14:textId="77777777" w:rsidR="007267F6" w:rsidRDefault="007267F6" w:rsidP="003D49EF">
            <w:pPr>
              <w:pStyle w:val="TableText"/>
              <w:ind w:right="0"/>
              <w:jc w:val="both"/>
              <w:rPr>
                <w:rtl/>
              </w:rPr>
            </w:pPr>
          </w:p>
        </w:tc>
        <w:tc>
          <w:tcPr>
            <w:tcW w:w="624" w:type="dxa"/>
          </w:tcPr>
          <w:p w14:paraId="7153756F" w14:textId="77777777" w:rsidR="007267F6" w:rsidRPr="00913B85" w:rsidRDefault="007267F6" w:rsidP="003D49EF">
            <w:pPr>
              <w:pStyle w:val="TableText"/>
              <w:ind w:right="0"/>
              <w:jc w:val="both"/>
              <w:rPr>
                <w:rtl/>
              </w:rPr>
            </w:pPr>
          </w:p>
        </w:tc>
        <w:tc>
          <w:tcPr>
            <w:tcW w:w="6522" w:type="dxa"/>
            <w:gridSpan w:val="2"/>
          </w:tcPr>
          <w:p w14:paraId="29CD1D3C" w14:textId="77777777" w:rsidR="007267F6" w:rsidRPr="00913B85" w:rsidRDefault="007267F6" w:rsidP="003D49EF">
            <w:pPr>
              <w:pStyle w:val="TableBlock"/>
              <w:rPr>
                <w:sz w:val="26"/>
                <w:rtl/>
              </w:rPr>
            </w:pPr>
            <w:r>
              <w:rPr>
                <w:rFonts w:hint="cs"/>
                <w:sz w:val="26"/>
                <w:rtl/>
              </w:rPr>
              <w:t>(1)</w:t>
            </w:r>
            <w:r>
              <w:rPr>
                <w:sz w:val="26"/>
                <w:rtl/>
              </w:rPr>
              <w:tab/>
            </w:r>
            <w:r>
              <w:rPr>
                <w:rFonts w:hint="cs"/>
                <w:sz w:val="26"/>
                <w:rtl/>
              </w:rPr>
              <w:t>סכום קצבת הנכות לפי סעיף 200 או 201א לחוק הביטוח הלאומי בצירוף סכום הקצבה החודשית הנוספת לפי סעיף 200א לחוק האמור, לא יפחת, החל מיום י</w:t>
            </w:r>
            <w:r w:rsidRPr="003D49EF">
              <w:rPr>
                <w:rFonts w:hint="cs"/>
                <w:sz w:val="26"/>
                <w:rtl/>
              </w:rPr>
              <w:t xml:space="preserve">"ז בטבת התשפ"א </w:t>
            </w:r>
            <w:r w:rsidRPr="00913B85">
              <w:rPr>
                <w:rFonts w:hint="cs"/>
                <w:sz w:val="26"/>
                <w:rtl/>
              </w:rPr>
              <w:t>(1 בינואר 2021)</w:t>
            </w:r>
            <w:r>
              <w:rPr>
                <w:rFonts w:hint="cs"/>
                <w:sz w:val="26"/>
                <w:rtl/>
              </w:rPr>
              <w:t>, מהסכומים המפורטים להלן, לפי העניין</w:t>
            </w:r>
            <w:r w:rsidRPr="00465EAA">
              <w:rPr>
                <w:sz w:val="26"/>
                <w:rtl/>
              </w:rPr>
              <w:t xml:space="preserve">:  </w:t>
            </w:r>
          </w:p>
        </w:tc>
      </w:tr>
      <w:tr w:rsidR="007267F6" w14:paraId="522DA2F7" w14:textId="77777777" w:rsidTr="003D49EF">
        <w:trPr>
          <w:cantSplit/>
          <w:trHeight w:val="60"/>
        </w:trPr>
        <w:tc>
          <w:tcPr>
            <w:tcW w:w="1871" w:type="dxa"/>
          </w:tcPr>
          <w:p w14:paraId="10C13DEE" w14:textId="77777777" w:rsidR="007267F6" w:rsidRDefault="007267F6" w:rsidP="003D49EF">
            <w:pPr>
              <w:pStyle w:val="TableSideHeading"/>
              <w:ind w:right="0"/>
            </w:pPr>
          </w:p>
        </w:tc>
        <w:tc>
          <w:tcPr>
            <w:tcW w:w="624" w:type="dxa"/>
          </w:tcPr>
          <w:p w14:paraId="60717E18" w14:textId="77777777" w:rsidR="007267F6" w:rsidRDefault="007267F6" w:rsidP="003D49EF">
            <w:pPr>
              <w:pStyle w:val="TableText"/>
              <w:ind w:right="0"/>
              <w:jc w:val="both"/>
            </w:pPr>
          </w:p>
        </w:tc>
        <w:tc>
          <w:tcPr>
            <w:tcW w:w="624" w:type="dxa"/>
          </w:tcPr>
          <w:p w14:paraId="7CFF461E" w14:textId="77777777" w:rsidR="007267F6" w:rsidRDefault="007267F6" w:rsidP="003D49EF">
            <w:pPr>
              <w:pStyle w:val="TableText"/>
              <w:ind w:right="0"/>
              <w:jc w:val="both"/>
            </w:pPr>
          </w:p>
        </w:tc>
        <w:tc>
          <w:tcPr>
            <w:tcW w:w="624" w:type="dxa"/>
          </w:tcPr>
          <w:p w14:paraId="6831E036" w14:textId="77777777" w:rsidR="007267F6" w:rsidRPr="00913B85" w:rsidRDefault="007267F6" w:rsidP="003D49EF">
            <w:pPr>
              <w:pStyle w:val="TableText"/>
              <w:ind w:right="0"/>
              <w:jc w:val="both"/>
            </w:pPr>
          </w:p>
        </w:tc>
        <w:tc>
          <w:tcPr>
            <w:tcW w:w="5898" w:type="dxa"/>
          </w:tcPr>
          <w:p w14:paraId="5C73666F" w14:textId="77777777" w:rsidR="007267F6" w:rsidRDefault="007267F6" w:rsidP="003D49EF">
            <w:pPr>
              <w:pStyle w:val="TableBlock"/>
            </w:pPr>
            <w:r>
              <w:rPr>
                <w:rFonts w:hint="cs"/>
                <w:rtl/>
              </w:rPr>
              <w:t>(א)</w:t>
            </w:r>
            <w:r>
              <w:rPr>
                <w:rtl/>
              </w:rPr>
              <w:tab/>
            </w:r>
            <w:r>
              <w:rPr>
                <w:rFonts w:hint="cs"/>
                <w:rtl/>
              </w:rPr>
              <w:t xml:space="preserve">לנכה הזכאי </w:t>
            </w:r>
            <w:r w:rsidRPr="00541685">
              <w:rPr>
                <w:rtl/>
              </w:rPr>
              <w:t>ל</w:t>
            </w:r>
            <w:r>
              <w:rPr>
                <w:rFonts w:hint="cs"/>
                <w:rtl/>
              </w:rPr>
              <w:t>גמלה בעד</w:t>
            </w:r>
            <w:r w:rsidRPr="00541685">
              <w:rPr>
                <w:rtl/>
              </w:rPr>
              <w:t xml:space="preserve"> שירותים מיוחדים</w:t>
            </w:r>
            <w:r w:rsidRPr="00541685">
              <w:rPr>
                <w:rFonts w:hint="cs"/>
                <w:rtl/>
              </w:rPr>
              <w:t xml:space="preserve"> </w:t>
            </w:r>
            <w:r>
              <w:rPr>
                <w:rFonts w:hint="cs"/>
                <w:rtl/>
              </w:rPr>
              <w:t xml:space="preserve">לפי סעיף 206 ו-206א לחוק הביטוח הלאומי, למעט לפי סעיף 206א(ב)(3) </w:t>
            </w:r>
            <w:r>
              <w:rPr>
                <w:rFonts w:hint="eastAsia"/>
                <w:rtl/>
              </w:rPr>
              <w:t>–</w:t>
            </w:r>
            <w:r>
              <w:rPr>
                <w:rFonts w:hint="cs"/>
                <w:rtl/>
              </w:rPr>
              <w:t xml:space="preserve"> </w:t>
            </w:r>
            <w:r w:rsidRPr="00541685">
              <w:rPr>
                <w:rFonts w:hint="cs"/>
                <w:rtl/>
              </w:rPr>
              <w:t>4,500</w:t>
            </w:r>
            <w:r w:rsidRPr="00541685">
              <w:rPr>
                <w:rtl/>
              </w:rPr>
              <w:t xml:space="preserve"> </w:t>
            </w:r>
            <w:r w:rsidRPr="00541685">
              <w:rPr>
                <w:rFonts w:hint="cs"/>
                <w:rtl/>
              </w:rPr>
              <w:t>שקל</w:t>
            </w:r>
            <w:r>
              <w:rPr>
                <w:rFonts w:hint="cs"/>
                <w:rtl/>
              </w:rPr>
              <w:t>ים</w:t>
            </w:r>
            <w:r w:rsidRPr="00541685">
              <w:rPr>
                <w:rtl/>
              </w:rPr>
              <w:t xml:space="preserve"> </w:t>
            </w:r>
            <w:r>
              <w:rPr>
                <w:rFonts w:hint="cs"/>
                <w:rtl/>
              </w:rPr>
              <w:t xml:space="preserve">חדשים </w:t>
            </w:r>
            <w:r w:rsidRPr="00541685">
              <w:rPr>
                <w:rtl/>
              </w:rPr>
              <w:t>בחודש</w:t>
            </w:r>
            <w:r w:rsidRPr="00913B85">
              <w:rPr>
                <w:rFonts w:hint="cs"/>
                <w:rtl/>
              </w:rPr>
              <w:t>;</w:t>
            </w:r>
          </w:p>
        </w:tc>
      </w:tr>
      <w:tr w:rsidR="007267F6" w14:paraId="0474835E" w14:textId="77777777" w:rsidTr="003D49EF">
        <w:trPr>
          <w:cantSplit/>
          <w:trHeight w:val="60"/>
        </w:trPr>
        <w:tc>
          <w:tcPr>
            <w:tcW w:w="1871" w:type="dxa"/>
          </w:tcPr>
          <w:p w14:paraId="3BD1B420" w14:textId="77777777" w:rsidR="007267F6" w:rsidRDefault="007267F6" w:rsidP="003D49EF">
            <w:pPr>
              <w:pStyle w:val="TableSideHeading"/>
              <w:ind w:right="0"/>
            </w:pPr>
          </w:p>
        </w:tc>
        <w:tc>
          <w:tcPr>
            <w:tcW w:w="624" w:type="dxa"/>
          </w:tcPr>
          <w:p w14:paraId="76F7F3A8" w14:textId="77777777" w:rsidR="007267F6" w:rsidRDefault="007267F6" w:rsidP="003D49EF">
            <w:pPr>
              <w:pStyle w:val="TableText"/>
              <w:ind w:right="0"/>
              <w:jc w:val="both"/>
            </w:pPr>
          </w:p>
        </w:tc>
        <w:tc>
          <w:tcPr>
            <w:tcW w:w="624" w:type="dxa"/>
          </w:tcPr>
          <w:p w14:paraId="214B718A" w14:textId="77777777" w:rsidR="007267F6" w:rsidRDefault="007267F6" w:rsidP="003D49EF">
            <w:pPr>
              <w:pStyle w:val="TableText"/>
              <w:ind w:right="0"/>
              <w:jc w:val="both"/>
            </w:pPr>
          </w:p>
        </w:tc>
        <w:tc>
          <w:tcPr>
            <w:tcW w:w="624" w:type="dxa"/>
          </w:tcPr>
          <w:p w14:paraId="664F7833" w14:textId="77777777" w:rsidR="007267F6" w:rsidRPr="00913B85" w:rsidRDefault="007267F6" w:rsidP="003D49EF">
            <w:pPr>
              <w:pStyle w:val="TableText"/>
              <w:ind w:right="0"/>
              <w:jc w:val="both"/>
            </w:pPr>
          </w:p>
        </w:tc>
        <w:tc>
          <w:tcPr>
            <w:tcW w:w="5898" w:type="dxa"/>
          </w:tcPr>
          <w:p w14:paraId="11C317CB" w14:textId="77777777" w:rsidR="007267F6" w:rsidRDefault="007267F6" w:rsidP="003D49EF">
            <w:pPr>
              <w:pStyle w:val="TableBlock"/>
              <w:tabs>
                <w:tab w:val="clear" w:pos="1247"/>
              </w:tabs>
            </w:pPr>
            <w:r>
              <w:rPr>
                <w:rFonts w:hint="cs"/>
                <w:rtl/>
              </w:rPr>
              <w:t>(ב)</w:t>
            </w:r>
            <w:r>
              <w:rPr>
                <w:rtl/>
              </w:rPr>
              <w:tab/>
            </w:r>
            <w:r>
              <w:rPr>
                <w:rFonts w:hint="cs"/>
                <w:rtl/>
              </w:rPr>
              <w:t>ל</w:t>
            </w:r>
            <w:r w:rsidRPr="00541685">
              <w:rPr>
                <w:rtl/>
              </w:rPr>
              <w:t>נכ</w:t>
            </w:r>
            <w:r>
              <w:rPr>
                <w:rFonts w:hint="cs"/>
                <w:rtl/>
              </w:rPr>
              <w:t xml:space="preserve">ה שנקבעה לו דרגת אי כושר להשתכר של 100% ונקבעה לו נכות רפואית בשיעור של 80% לפחות </w:t>
            </w:r>
            <w:r>
              <w:rPr>
                <w:rFonts w:hint="eastAsia"/>
                <w:rtl/>
              </w:rPr>
              <w:t>–</w:t>
            </w:r>
            <w:r>
              <w:rPr>
                <w:rFonts w:hint="cs"/>
                <w:rtl/>
              </w:rPr>
              <w:t xml:space="preserve"> </w:t>
            </w:r>
            <w:r w:rsidRPr="00541685">
              <w:rPr>
                <w:rFonts w:hint="cs"/>
                <w:rtl/>
              </w:rPr>
              <w:t>4,050</w:t>
            </w:r>
            <w:r w:rsidRPr="00541685">
              <w:rPr>
                <w:rtl/>
              </w:rPr>
              <w:t xml:space="preserve"> </w:t>
            </w:r>
            <w:r w:rsidRPr="00541685">
              <w:rPr>
                <w:rFonts w:hint="cs"/>
                <w:rtl/>
              </w:rPr>
              <w:t>ש</w:t>
            </w:r>
            <w:r>
              <w:rPr>
                <w:rFonts w:hint="cs"/>
                <w:rtl/>
              </w:rPr>
              <w:t>קלים חדשים</w:t>
            </w:r>
            <w:r w:rsidRPr="00541685">
              <w:rPr>
                <w:rtl/>
              </w:rPr>
              <w:t xml:space="preserve"> בחודש</w:t>
            </w:r>
            <w:r>
              <w:rPr>
                <w:rFonts w:hint="cs"/>
                <w:rtl/>
              </w:rPr>
              <w:t>;</w:t>
            </w:r>
          </w:p>
        </w:tc>
      </w:tr>
      <w:tr w:rsidR="007267F6" w14:paraId="5201DAA8" w14:textId="77777777" w:rsidTr="003D49EF">
        <w:trPr>
          <w:cantSplit/>
          <w:trHeight w:val="60"/>
        </w:trPr>
        <w:tc>
          <w:tcPr>
            <w:tcW w:w="1871" w:type="dxa"/>
          </w:tcPr>
          <w:p w14:paraId="04E05E9B" w14:textId="77777777" w:rsidR="007267F6" w:rsidRDefault="007267F6" w:rsidP="003D49EF">
            <w:pPr>
              <w:pStyle w:val="TableSideHeading"/>
              <w:ind w:right="0"/>
            </w:pPr>
          </w:p>
        </w:tc>
        <w:tc>
          <w:tcPr>
            <w:tcW w:w="624" w:type="dxa"/>
          </w:tcPr>
          <w:p w14:paraId="2E9A0F4A" w14:textId="77777777" w:rsidR="007267F6" w:rsidRDefault="007267F6" w:rsidP="003D49EF">
            <w:pPr>
              <w:pStyle w:val="TableText"/>
              <w:ind w:right="0"/>
              <w:jc w:val="both"/>
            </w:pPr>
          </w:p>
        </w:tc>
        <w:tc>
          <w:tcPr>
            <w:tcW w:w="624" w:type="dxa"/>
          </w:tcPr>
          <w:p w14:paraId="67495F73" w14:textId="77777777" w:rsidR="007267F6" w:rsidRDefault="007267F6" w:rsidP="003D49EF">
            <w:pPr>
              <w:pStyle w:val="TableText"/>
              <w:ind w:right="0"/>
              <w:jc w:val="both"/>
            </w:pPr>
          </w:p>
        </w:tc>
        <w:tc>
          <w:tcPr>
            <w:tcW w:w="624" w:type="dxa"/>
          </w:tcPr>
          <w:p w14:paraId="04DFA941" w14:textId="77777777" w:rsidR="007267F6" w:rsidRPr="00913B85" w:rsidRDefault="007267F6" w:rsidP="003D49EF">
            <w:pPr>
              <w:pStyle w:val="TableText"/>
              <w:ind w:right="0"/>
              <w:jc w:val="both"/>
            </w:pPr>
          </w:p>
        </w:tc>
        <w:tc>
          <w:tcPr>
            <w:tcW w:w="5898" w:type="dxa"/>
          </w:tcPr>
          <w:p w14:paraId="136CDA5D" w14:textId="77777777" w:rsidR="007267F6" w:rsidRDefault="007267F6" w:rsidP="003D49EF">
            <w:pPr>
              <w:pStyle w:val="TableBlock"/>
            </w:pPr>
            <w:r>
              <w:rPr>
                <w:rFonts w:hint="cs"/>
                <w:rtl/>
              </w:rPr>
              <w:t>(ג)</w:t>
            </w:r>
            <w:r>
              <w:rPr>
                <w:rtl/>
              </w:rPr>
              <w:tab/>
            </w:r>
            <w:r>
              <w:rPr>
                <w:rFonts w:hint="cs"/>
                <w:rtl/>
              </w:rPr>
              <w:t>ל</w:t>
            </w:r>
            <w:r w:rsidRPr="00541685">
              <w:rPr>
                <w:rtl/>
              </w:rPr>
              <w:t>נכ</w:t>
            </w:r>
            <w:r>
              <w:rPr>
                <w:rFonts w:hint="cs"/>
                <w:rtl/>
              </w:rPr>
              <w:t>ה שנקבעה לו דרגת אי כושר להשתכר של 100% ונקבעה לו נכות רפואית בשיעור של 50% לפחות ולא יותר מ-79%</w:t>
            </w:r>
            <w:r w:rsidRPr="00A61C87">
              <w:rPr>
                <w:rtl/>
              </w:rPr>
              <w:t xml:space="preserve"> </w:t>
            </w:r>
            <w:r>
              <w:rPr>
                <w:rFonts w:hint="eastAsia"/>
                <w:rtl/>
              </w:rPr>
              <w:t>–</w:t>
            </w:r>
            <w:r w:rsidRPr="00A61C87">
              <w:rPr>
                <w:rtl/>
              </w:rPr>
              <w:t xml:space="preserve">4,000 </w:t>
            </w:r>
            <w:r>
              <w:rPr>
                <w:rFonts w:hint="cs"/>
                <w:rtl/>
              </w:rPr>
              <w:t>שקלים</w:t>
            </w:r>
            <w:r w:rsidRPr="00A61C87">
              <w:rPr>
                <w:rtl/>
              </w:rPr>
              <w:t xml:space="preserve"> </w:t>
            </w:r>
            <w:r>
              <w:rPr>
                <w:rFonts w:hint="cs"/>
                <w:rtl/>
              </w:rPr>
              <w:t xml:space="preserve">חדשים </w:t>
            </w:r>
            <w:r w:rsidRPr="00A61C87">
              <w:rPr>
                <w:rtl/>
              </w:rPr>
              <w:t>בחודש</w:t>
            </w:r>
            <w:r>
              <w:rPr>
                <w:rFonts w:hint="cs"/>
                <w:rtl/>
              </w:rPr>
              <w:t>;</w:t>
            </w:r>
          </w:p>
        </w:tc>
      </w:tr>
      <w:tr w:rsidR="007267F6" w14:paraId="78EC56E8" w14:textId="77777777" w:rsidTr="003D49EF">
        <w:trPr>
          <w:cantSplit/>
          <w:trHeight w:val="60"/>
        </w:trPr>
        <w:tc>
          <w:tcPr>
            <w:tcW w:w="1871" w:type="dxa"/>
          </w:tcPr>
          <w:p w14:paraId="2C2E33B4" w14:textId="77777777" w:rsidR="007267F6" w:rsidRDefault="007267F6" w:rsidP="003D49EF">
            <w:pPr>
              <w:pStyle w:val="TableSideHeading"/>
              <w:ind w:right="0"/>
            </w:pPr>
          </w:p>
        </w:tc>
        <w:tc>
          <w:tcPr>
            <w:tcW w:w="624" w:type="dxa"/>
          </w:tcPr>
          <w:p w14:paraId="03823D9C" w14:textId="77777777" w:rsidR="007267F6" w:rsidRDefault="007267F6" w:rsidP="003D49EF">
            <w:pPr>
              <w:pStyle w:val="TableText"/>
              <w:ind w:right="0"/>
              <w:jc w:val="both"/>
            </w:pPr>
          </w:p>
        </w:tc>
        <w:tc>
          <w:tcPr>
            <w:tcW w:w="624" w:type="dxa"/>
          </w:tcPr>
          <w:p w14:paraId="36824C82" w14:textId="77777777" w:rsidR="007267F6" w:rsidRDefault="007267F6" w:rsidP="003D49EF">
            <w:pPr>
              <w:pStyle w:val="TableText"/>
              <w:ind w:right="0"/>
              <w:jc w:val="both"/>
            </w:pPr>
          </w:p>
        </w:tc>
        <w:tc>
          <w:tcPr>
            <w:tcW w:w="624" w:type="dxa"/>
          </w:tcPr>
          <w:p w14:paraId="3FBDF1F7" w14:textId="77777777" w:rsidR="007267F6" w:rsidRPr="00913B85" w:rsidRDefault="007267F6" w:rsidP="003D49EF">
            <w:pPr>
              <w:pStyle w:val="TableText"/>
              <w:ind w:right="0"/>
              <w:jc w:val="both"/>
            </w:pPr>
          </w:p>
        </w:tc>
        <w:tc>
          <w:tcPr>
            <w:tcW w:w="5898" w:type="dxa"/>
          </w:tcPr>
          <w:p w14:paraId="74F8694B" w14:textId="77777777" w:rsidR="007267F6" w:rsidRDefault="007267F6" w:rsidP="003D49EF">
            <w:pPr>
              <w:pStyle w:val="TableBlock"/>
            </w:pPr>
            <w:r>
              <w:rPr>
                <w:rFonts w:hint="cs"/>
                <w:rtl/>
              </w:rPr>
              <w:t>(ד)</w:t>
            </w:r>
            <w:r>
              <w:rPr>
                <w:rtl/>
              </w:rPr>
              <w:tab/>
            </w:r>
            <w:r>
              <w:rPr>
                <w:rFonts w:hint="cs"/>
                <w:rtl/>
              </w:rPr>
              <w:t>ל</w:t>
            </w:r>
            <w:r w:rsidRPr="00541685">
              <w:rPr>
                <w:rtl/>
              </w:rPr>
              <w:t>נכ</w:t>
            </w:r>
            <w:r>
              <w:rPr>
                <w:rFonts w:hint="cs"/>
                <w:rtl/>
              </w:rPr>
              <w:t>ה שנקבעה לו דרגת אי כושר להשתכר של 100% ונקבעה לו נכות רפואית בשיעור של 40% לפחות ולא יותר מ-49%</w:t>
            </w:r>
            <w:r w:rsidRPr="00A61C87">
              <w:rPr>
                <w:rtl/>
              </w:rPr>
              <w:t xml:space="preserve"> </w:t>
            </w:r>
            <w:r>
              <w:rPr>
                <w:rFonts w:hint="cs"/>
                <w:rtl/>
              </w:rPr>
              <w:t xml:space="preserve"> </w:t>
            </w:r>
            <w:r>
              <w:rPr>
                <w:rFonts w:hint="eastAsia"/>
                <w:rtl/>
              </w:rPr>
              <w:t>–</w:t>
            </w:r>
            <w:r>
              <w:rPr>
                <w:rFonts w:hint="cs"/>
                <w:rtl/>
              </w:rPr>
              <w:t xml:space="preserve"> </w:t>
            </w:r>
            <w:r w:rsidRPr="00A61C87">
              <w:rPr>
                <w:rtl/>
              </w:rPr>
              <w:t xml:space="preserve">3,800 </w:t>
            </w:r>
            <w:r>
              <w:rPr>
                <w:rFonts w:hint="cs"/>
                <w:rtl/>
              </w:rPr>
              <w:t>שקלים</w:t>
            </w:r>
            <w:r w:rsidRPr="00A61C87">
              <w:rPr>
                <w:rtl/>
              </w:rPr>
              <w:t xml:space="preserve"> </w:t>
            </w:r>
            <w:r>
              <w:rPr>
                <w:rFonts w:hint="cs"/>
                <w:rtl/>
              </w:rPr>
              <w:t xml:space="preserve">חדשים </w:t>
            </w:r>
            <w:r w:rsidRPr="00A61C87">
              <w:rPr>
                <w:rtl/>
              </w:rPr>
              <w:t>בחודש</w:t>
            </w:r>
            <w:r>
              <w:rPr>
                <w:rFonts w:hint="cs"/>
                <w:rtl/>
              </w:rPr>
              <w:t>;</w:t>
            </w:r>
          </w:p>
        </w:tc>
      </w:tr>
      <w:tr w:rsidR="007267F6" w14:paraId="193097F8" w14:textId="77777777" w:rsidTr="003D49EF">
        <w:trPr>
          <w:cantSplit/>
          <w:trHeight w:val="60"/>
        </w:trPr>
        <w:tc>
          <w:tcPr>
            <w:tcW w:w="1871" w:type="dxa"/>
          </w:tcPr>
          <w:p w14:paraId="1DCEFB71" w14:textId="77777777" w:rsidR="007267F6" w:rsidRDefault="007267F6" w:rsidP="003D49EF">
            <w:pPr>
              <w:pStyle w:val="TableSideHeading"/>
              <w:ind w:right="0"/>
            </w:pPr>
          </w:p>
        </w:tc>
        <w:tc>
          <w:tcPr>
            <w:tcW w:w="624" w:type="dxa"/>
          </w:tcPr>
          <w:p w14:paraId="2890ECF4" w14:textId="77777777" w:rsidR="007267F6" w:rsidRDefault="007267F6" w:rsidP="003D49EF">
            <w:pPr>
              <w:pStyle w:val="TableText"/>
              <w:ind w:right="0"/>
              <w:jc w:val="both"/>
            </w:pPr>
          </w:p>
        </w:tc>
        <w:tc>
          <w:tcPr>
            <w:tcW w:w="624" w:type="dxa"/>
          </w:tcPr>
          <w:p w14:paraId="5ADF0A61" w14:textId="77777777" w:rsidR="007267F6" w:rsidRDefault="007267F6" w:rsidP="003D49EF">
            <w:pPr>
              <w:pStyle w:val="TableText"/>
              <w:ind w:right="0"/>
              <w:jc w:val="both"/>
            </w:pPr>
          </w:p>
        </w:tc>
        <w:tc>
          <w:tcPr>
            <w:tcW w:w="624" w:type="dxa"/>
          </w:tcPr>
          <w:p w14:paraId="399E1EDA" w14:textId="77777777" w:rsidR="007267F6" w:rsidRPr="00913B85" w:rsidRDefault="007267F6" w:rsidP="003D49EF">
            <w:pPr>
              <w:pStyle w:val="TableText"/>
              <w:ind w:right="0"/>
              <w:jc w:val="both"/>
            </w:pPr>
          </w:p>
        </w:tc>
        <w:tc>
          <w:tcPr>
            <w:tcW w:w="5898" w:type="dxa"/>
          </w:tcPr>
          <w:p w14:paraId="02127574" w14:textId="54A0488B" w:rsidR="007267F6" w:rsidRDefault="007267F6" w:rsidP="003D49EF">
            <w:pPr>
              <w:pStyle w:val="TableBlock"/>
            </w:pPr>
            <w:r>
              <w:rPr>
                <w:rFonts w:hint="cs"/>
                <w:rtl/>
              </w:rPr>
              <w:t>(ה)</w:t>
            </w:r>
            <w:r>
              <w:rPr>
                <w:rtl/>
              </w:rPr>
              <w:tab/>
            </w:r>
            <w:r w:rsidRPr="00633244">
              <w:rPr>
                <w:rtl/>
              </w:rPr>
              <w:t xml:space="preserve">לנכה שנקבעה לו דרגת אי כושר להשתכר </w:t>
            </w:r>
            <w:r>
              <w:rPr>
                <w:rFonts w:hint="cs"/>
                <w:rtl/>
              </w:rPr>
              <w:t>שאינה עולה על 74% ואינה פחות מ-60%</w:t>
            </w:r>
            <w:r w:rsidRPr="00913B85">
              <w:rPr>
                <w:rFonts w:hint="cs"/>
                <w:rtl/>
              </w:rPr>
              <w:t xml:space="preserve"> </w:t>
            </w:r>
            <w:r w:rsidRPr="00913B85">
              <w:rPr>
                <w:rFonts w:hint="eastAsia"/>
                <w:rtl/>
              </w:rPr>
              <w:t>–</w:t>
            </w:r>
            <w:r>
              <w:rPr>
                <w:rFonts w:hint="cs"/>
                <w:rtl/>
              </w:rPr>
              <w:t xml:space="preserve"> </w:t>
            </w:r>
            <w:r w:rsidRPr="00913B85">
              <w:rPr>
                <w:rFonts w:hint="cs"/>
                <w:rtl/>
              </w:rPr>
              <w:t xml:space="preserve">2,100 שקלים חדשים </w:t>
            </w:r>
            <w:r w:rsidRPr="00913B85">
              <w:rPr>
                <w:rtl/>
              </w:rPr>
              <w:t>בחודש</w:t>
            </w:r>
            <w:r>
              <w:rPr>
                <w:rFonts w:hint="cs"/>
                <w:rtl/>
              </w:rPr>
              <w:t>, ועד 2400 שקלים חדשים לחודש, בהתאם לדרגת אי הכושר להשתכר</w:t>
            </w:r>
            <w:r w:rsidR="001409B2">
              <w:rPr>
                <w:rFonts w:hint="cs"/>
                <w:rtl/>
              </w:rPr>
              <w:t>;</w:t>
            </w:r>
          </w:p>
        </w:tc>
      </w:tr>
      <w:tr w:rsidR="007267F6" w14:paraId="3F7C3B88" w14:textId="77777777" w:rsidTr="003D49EF">
        <w:trPr>
          <w:cantSplit/>
          <w:trHeight w:val="60"/>
        </w:trPr>
        <w:tc>
          <w:tcPr>
            <w:tcW w:w="1871" w:type="dxa"/>
          </w:tcPr>
          <w:p w14:paraId="64F88724" w14:textId="77777777" w:rsidR="007267F6" w:rsidRPr="00A0582E" w:rsidRDefault="007267F6" w:rsidP="003D49EF">
            <w:pPr>
              <w:pStyle w:val="TableSideHeading"/>
              <w:ind w:right="0"/>
            </w:pPr>
          </w:p>
        </w:tc>
        <w:tc>
          <w:tcPr>
            <w:tcW w:w="624" w:type="dxa"/>
          </w:tcPr>
          <w:p w14:paraId="2D655E00" w14:textId="77777777" w:rsidR="007267F6" w:rsidRDefault="007267F6" w:rsidP="003D49EF">
            <w:pPr>
              <w:pStyle w:val="TableText"/>
              <w:ind w:right="0"/>
              <w:jc w:val="both"/>
            </w:pPr>
          </w:p>
        </w:tc>
        <w:tc>
          <w:tcPr>
            <w:tcW w:w="624" w:type="dxa"/>
          </w:tcPr>
          <w:p w14:paraId="24D3EB63" w14:textId="77777777" w:rsidR="007267F6" w:rsidRDefault="007267F6" w:rsidP="003D49EF">
            <w:pPr>
              <w:pStyle w:val="TableText"/>
              <w:ind w:right="0"/>
              <w:jc w:val="both"/>
            </w:pPr>
          </w:p>
        </w:tc>
        <w:tc>
          <w:tcPr>
            <w:tcW w:w="6522" w:type="dxa"/>
            <w:gridSpan w:val="2"/>
          </w:tcPr>
          <w:p w14:paraId="70F9F015" w14:textId="3B8BDC51" w:rsidR="007267F6" w:rsidRDefault="007267F6" w:rsidP="00A0582E">
            <w:pPr>
              <w:pStyle w:val="TableBlock"/>
              <w:rPr>
                <w:rtl/>
              </w:rPr>
            </w:pPr>
            <w:r w:rsidRPr="00993214">
              <w:rPr>
                <w:rtl/>
              </w:rPr>
              <w:t>(</w:t>
            </w:r>
            <w:r w:rsidR="00A0582E">
              <w:rPr>
                <w:rFonts w:hint="cs"/>
                <w:rtl/>
              </w:rPr>
              <w:t>2</w:t>
            </w:r>
            <w:r w:rsidRPr="00993214">
              <w:rPr>
                <w:rtl/>
              </w:rPr>
              <w:t>)</w:t>
            </w:r>
            <w:r w:rsidRPr="00993214">
              <w:rPr>
                <w:rtl/>
              </w:rPr>
              <w:tab/>
            </w:r>
            <w:r>
              <w:rPr>
                <w:rFonts w:hint="cs"/>
                <w:rtl/>
              </w:rPr>
              <w:t>הגדלת הקצבאות כאמור בפסקה (1) תמומן מאוצר המדינה, ובלבד שהחל</w:t>
            </w:r>
            <w:r>
              <w:rPr>
                <w:rFonts w:hint="cs"/>
                <w:sz w:val="26"/>
                <w:rtl/>
              </w:rPr>
              <w:t xml:space="preserve"> מיום י</w:t>
            </w:r>
            <w:r w:rsidRPr="003D49EF">
              <w:rPr>
                <w:rFonts w:hint="cs"/>
                <w:sz w:val="26"/>
                <w:rtl/>
              </w:rPr>
              <w:t xml:space="preserve">"ז בטבת התשפ"א </w:t>
            </w:r>
            <w:r w:rsidRPr="00913B85">
              <w:rPr>
                <w:rFonts w:hint="cs"/>
                <w:sz w:val="26"/>
                <w:rtl/>
              </w:rPr>
              <w:t>(1 בינואר 2021)</w:t>
            </w:r>
            <w:r>
              <w:rPr>
                <w:rFonts w:hint="cs"/>
                <w:rtl/>
              </w:rPr>
              <w:t xml:space="preserve">, סך התקציב המיועד למימון הגדלת הקצבאות כאמור </w:t>
            </w:r>
            <w:r w:rsidRPr="00993214">
              <w:rPr>
                <w:rFonts w:hint="eastAsia"/>
                <w:rtl/>
              </w:rPr>
              <w:t>לא</w:t>
            </w:r>
            <w:r w:rsidRPr="00993214">
              <w:rPr>
                <w:rtl/>
              </w:rPr>
              <w:t xml:space="preserve"> </w:t>
            </w:r>
            <w:r w:rsidRPr="00993214">
              <w:rPr>
                <w:rFonts w:hint="eastAsia"/>
                <w:rtl/>
              </w:rPr>
              <w:t>יפחת</w:t>
            </w:r>
            <w:r w:rsidRPr="00993214">
              <w:rPr>
                <w:rtl/>
              </w:rPr>
              <w:t xml:space="preserve"> </w:t>
            </w:r>
            <w:r w:rsidRPr="00993214">
              <w:rPr>
                <w:rFonts w:hint="eastAsia"/>
                <w:rtl/>
              </w:rPr>
              <w:t>מארבעה</w:t>
            </w:r>
            <w:r w:rsidRPr="00993214">
              <w:rPr>
                <w:rtl/>
              </w:rPr>
              <w:t xml:space="preserve"> </w:t>
            </w:r>
            <w:r w:rsidRPr="00993214">
              <w:rPr>
                <w:rFonts w:hint="eastAsia"/>
                <w:rtl/>
              </w:rPr>
              <w:t>מיליארד</w:t>
            </w:r>
            <w:r w:rsidRPr="00993214">
              <w:rPr>
                <w:rtl/>
              </w:rPr>
              <w:t xml:space="preserve"> </w:t>
            </w:r>
            <w:r w:rsidRPr="00993214">
              <w:rPr>
                <w:rFonts w:hint="eastAsia"/>
                <w:rtl/>
              </w:rPr>
              <w:t>ומאתיים</w:t>
            </w:r>
            <w:r w:rsidRPr="00993214">
              <w:rPr>
                <w:rtl/>
              </w:rPr>
              <w:t xml:space="preserve"> </w:t>
            </w:r>
            <w:r w:rsidRPr="00993214">
              <w:rPr>
                <w:rFonts w:hint="eastAsia"/>
                <w:rtl/>
              </w:rPr>
              <w:t>מיליון</w:t>
            </w:r>
            <w:r w:rsidRPr="00993214">
              <w:rPr>
                <w:rtl/>
              </w:rPr>
              <w:t xml:space="preserve"> </w:t>
            </w:r>
            <w:r w:rsidRPr="00993214">
              <w:rPr>
                <w:rFonts w:hint="eastAsia"/>
                <w:rtl/>
              </w:rPr>
              <w:t>שקלים</w:t>
            </w:r>
            <w:r w:rsidRPr="00993214">
              <w:rPr>
                <w:rtl/>
              </w:rPr>
              <w:t xml:space="preserve"> </w:t>
            </w:r>
            <w:r w:rsidRPr="00993214">
              <w:rPr>
                <w:rFonts w:hint="eastAsia"/>
                <w:rtl/>
              </w:rPr>
              <w:t>חדשים</w:t>
            </w:r>
            <w:r w:rsidRPr="00993214">
              <w:rPr>
                <w:rtl/>
              </w:rPr>
              <w:t xml:space="preserve"> </w:t>
            </w:r>
            <w:r w:rsidRPr="00993214">
              <w:rPr>
                <w:rFonts w:hint="eastAsia"/>
                <w:rtl/>
              </w:rPr>
              <w:t>בשנה</w:t>
            </w:r>
            <w:r>
              <w:rPr>
                <w:rFonts w:hint="cs"/>
                <w:rtl/>
              </w:rPr>
              <w:t>.</w:t>
            </w:r>
          </w:p>
        </w:tc>
      </w:tr>
      <w:tr w:rsidR="007267F6" w14:paraId="01F7CA27" w14:textId="77777777" w:rsidTr="003D49EF">
        <w:trPr>
          <w:cantSplit/>
          <w:trHeight w:val="60"/>
        </w:trPr>
        <w:tc>
          <w:tcPr>
            <w:tcW w:w="1871" w:type="dxa"/>
          </w:tcPr>
          <w:p w14:paraId="1C04AB72" w14:textId="77777777" w:rsidR="007267F6" w:rsidRDefault="007267F6" w:rsidP="003D49EF">
            <w:pPr>
              <w:pStyle w:val="TableSideHeading"/>
            </w:pPr>
          </w:p>
        </w:tc>
        <w:tc>
          <w:tcPr>
            <w:tcW w:w="624" w:type="dxa"/>
          </w:tcPr>
          <w:p w14:paraId="7A32027C" w14:textId="77777777" w:rsidR="007267F6" w:rsidRDefault="007267F6" w:rsidP="003D49EF">
            <w:pPr>
              <w:pStyle w:val="TableText"/>
            </w:pPr>
          </w:p>
        </w:tc>
        <w:tc>
          <w:tcPr>
            <w:tcW w:w="7146" w:type="dxa"/>
            <w:gridSpan w:val="3"/>
          </w:tcPr>
          <w:p w14:paraId="6B965996" w14:textId="77777777" w:rsidR="007267F6" w:rsidRPr="00C34DE2" w:rsidRDefault="007267F6" w:rsidP="003D49EF">
            <w:pPr>
              <w:pStyle w:val="TableBlock"/>
            </w:pPr>
            <w:r>
              <w:rPr>
                <w:rFonts w:hint="cs"/>
                <w:rtl/>
              </w:rPr>
              <w:t>(ב)</w:t>
            </w:r>
            <w:r>
              <w:rPr>
                <w:rtl/>
              </w:rPr>
              <w:tab/>
            </w:r>
            <w:r w:rsidRPr="006817BF">
              <w:rPr>
                <w:rtl/>
              </w:rPr>
              <w:t xml:space="preserve">קצבה המשולמת בעד ילד נכה לפי סימן ו' לפרק ט' לחוק הביטוח הלאומי תגדל באופן הדרגתי במהלך </w:t>
            </w:r>
            <w:r>
              <w:rPr>
                <w:rFonts w:hint="cs"/>
                <w:rtl/>
              </w:rPr>
              <w:t>ארבע</w:t>
            </w:r>
            <w:r w:rsidRPr="006817BF">
              <w:rPr>
                <w:rtl/>
              </w:rPr>
              <w:t xml:space="preserve"> שנים החל מיום י"ד בטבת התשע"ח (1 בינואר 2018) בהתאם לתנאים, לשיעורים ולמועדים שיקבע השר באישור הוועדה; הגדלת הקצבה המשולמת בעד ילד נכה תמומן מ</w:t>
            </w:r>
            <w:r>
              <w:rPr>
                <w:rFonts w:hint="cs"/>
                <w:rtl/>
              </w:rPr>
              <w:t>אוצר</w:t>
            </w:r>
            <w:r w:rsidRPr="006817BF">
              <w:rPr>
                <w:rtl/>
              </w:rPr>
              <w:t xml:space="preserve"> המדינה, ובלבד שהחל מיום י"ז בטבת התשפ"א (1 בינואר 2021), יתווסף לתקציב המיועד למימון קצבאות כאמור 150 מיליון שקלים חדשים בשנה. </w:t>
            </w:r>
          </w:p>
        </w:tc>
      </w:tr>
      <w:tr w:rsidR="007267F6" w14:paraId="0BB60437" w14:textId="77777777" w:rsidTr="003D49EF">
        <w:trPr>
          <w:cantSplit/>
          <w:trHeight w:val="60"/>
        </w:trPr>
        <w:tc>
          <w:tcPr>
            <w:tcW w:w="1871" w:type="dxa"/>
          </w:tcPr>
          <w:p w14:paraId="1A12FAFC" w14:textId="77777777" w:rsidR="007267F6" w:rsidRDefault="007267F6" w:rsidP="003D49EF">
            <w:pPr>
              <w:pStyle w:val="TableSideHeading"/>
            </w:pPr>
          </w:p>
        </w:tc>
        <w:tc>
          <w:tcPr>
            <w:tcW w:w="624" w:type="dxa"/>
          </w:tcPr>
          <w:p w14:paraId="65334D98" w14:textId="77777777" w:rsidR="007267F6" w:rsidRDefault="007267F6" w:rsidP="003D49EF">
            <w:pPr>
              <w:pStyle w:val="TableText"/>
            </w:pPr>
          </w:p>
        </w:tc>
        <w:tc>
          <w:tcPr>
            <w:tcW w:w="7146" w:type="dxa"/>
            <w:gridSpan w:val="3"/>
          </w:tcPr>
          <w:p w14:paraId="7C34ABF6" w14:textId="773D4B0F" w:rsidR="007267F6" w:rsidRDefault="00A0582E" w:rsidP="003D49EF">
            <w:pPr>
              <w:pStyle w:val="TableBlock"/>
              <w:rPr>
                <w:rtl/>
              </w:rPr>
            </w:pPr>
            <w:r>
              <w:rPr>
                <w:rFonts w:hint="cs"/>
                <w:sz w:val="26"/>
                <w:rtl/>
              </w:rPr>
              <w:t>(ג)</w:t>
            </w:r>
            <w:r>
              <w:rPr>
                <w:sz w:val="26"/>
                <w:rtl/>
              </w:rPr>
              <w:tab/>
            </w:r>
            <w:r w:rsidR="007267F6">
              <w:rPr>
                <w:rFonts w:hint="cs"/>
                <w:rtl/>
              </w:rPr>
              <w:t xml:space="preserve">החל מיום </w:t>
            </w:r>
            <w:r w:rsidR="007267F6" w:rsidRPr="003D49EF">
              <w:rPr>
                <w:rFonts w:hint="cs"/>
                <w:rtl/>
              </w:rPr>
              <w:t xml:space="preserve">י"ד בטבת התשע"ח (1 בינואר </w:t>
            </w:r>
            <w:r w:rsidR="007267F6">
              <w:rPr>
                <w:rFonts w:hint="cs"/>
                <w:rtl/>
              </w:rPr>
              <w:t>2018) יממן</w:t>
            </w:r>
            <w:r w:rsidR="007267F6">
              <w:rPr>
                <w:rtl/>
              </w:rPr>
              <w:t xml:space="preserve"> </w:t>
            </w:r>
            <w:r w:rsidR="007267F6">
              <w:rPr>
                <w:rFonts w:hint="cs"/>
                <w:rtl/>
              </w:rPr>
              <w:t>אוצר</w:t>
            </w:r>
            <w:r w:rsidR="007267F6" w:rsidRPr="006817BF">
              <w:rPr>
                <w:rtl/>
              </w:rPr>
              <w:t xml:space="preserve"> המדינה</w:t>
            </w:r>
            <w:r w:rsidR="007267F6">
              <w:rPr>
                <w:rFonts w:hint="cs"/>
                <w:sz w:val="26"/>
                <w:rtl/>
              </w:rPr>
              <w:t xml:space="preserve"> תוספת תקציב של 75 מיליון שקלים חדשים בשנה לעידוד תעסוקת נכים; השר באישור הוועדה יקבע הוראות וכללים לעניין עידוד תעסוקת הנכים.</w:t>
            </w:r>
          </w:p>
        </w:tc>
      </w:tr>
      <w:tr w:rsidR="007267F6" w14:paraId="1B285FBC" w14:textId="77777777" w:rsidTr="003D49EF">
        <w:trPr>
          <w:cantSplit/>
          <w:trHeight w:val="60"/>
        </w:trPr>
        <w:tc>
          <w:tcPr>
            <w:tcW w:w="1871" w:type="dxa"/>
          </w:tcPr>
          <w:p w14:paraId="60CC7198" w14:textId="77777777" w:rsidR="007267F6" w:rsidRDefault="007267F6" w:rsidP="003D49EF">
            <w:pPr>
              <w:pStyle w:val="TableSideHeading"/>
            </w:pPr>
          </w:p>
        </w:tc>
        <w:tc>
          <w:tcPr>
            <w:tcW w:w="624" w:type="dxa"/>
          </w:tcPr>
          <w:p w14:paraId="1E2EB63A" w14:textId="77777777" w:rsidR="007267F6" w:rsidRDefault="007267F6" w:rsidP="003D49EF">
            <w:pPr>
              <w:pStyle w:val="TableText"/>
            </w:pPr>
          </w:p>
        </w:tc>
        <w:tc>
          <w:tcPr>
            <w:tcW w:w="7146" w:type="dxa"/>
            <w:gridSpan w:val="3"/>
          </w:tcPr>
          <w:p w14:paraId="01119907" w14:textId="6D8C5A8B" w:rsidR="007267F6" w:rsidRDefault="007267F6" w:rsidP="003D49EF">
            <w:pPr>
              <w:pStyle w:val="TableBlock"/>
              <w:rPr>
                <w:sz w:val="26"/>
                <w:rtl/>
              </w:rPr>
            </w:pPr>
            <w:r>
              <w:rPr>
                <w:rFonts w:hint="cs"/>
                <w:sz w:val="26"/>
                <w:rtl/>
              </w:rPr>
              <w:t>(ד)</w:t>
            </w:r>
            <w:r>
              <w:rPr>
                <w:sz w:val="26"/>
                <w:rtl/>
              </w:rPr>
              <w:tab/>
            </w:r>
            <w:r w:rsidRPr="00993214">
              <w:rPr>
                <w:sz w:val="26"/>
                <w:rtl/>
              </w:rPr>
              <w:t xml:space="preserve">החל מיום י"ד בטבת התשע"ח (1 בינואר 2018) יממן אוצר </w:t>
            </w:r>
            <w:r>
              <w:rPr>
                <w:rFonts w:hint="cs"/>
                <w:sz w:val="26"/>
                <w:rtl/>
              </w:rPr>
              <w:t xml:space="preserve">המדינה תוספת תקציב של 300 מיליון שקלים </w:t>
            </w:r>
            <w:r w:rsidR="001409B2">
              <w:rPr>
                <w:rFonts w:hint="cs"/>
                <w:sz w:val="26"/>
                <w:rtl/>
              </w:rPr>
              <w:t xml:space="preserve">חדשים </w:t>
            </w:r>
            <w:r>
              <w:rPr>
                <w:rFonts w:hint="cs"/>
                <w:sz w:val="26"/>
                <w:rtl/>
              </w:rPr>
              <w:t>בשנה לקצבאות הנכות עבור קשישים.</w:t>
            </w:r>
          </w:p>
        </w:tc>
      </w:tr>
      <w:tr w:rsidR="007267F6" w14:paraId="74A8F6B2" w14:textId="77777777" w:rsidTr="003D49EF">
        <w:trPr>
          <w:cantSplit/>
          <w:trHeight w:val="60"/>
        </w:trPr>
        <w:tc>
          <w:tcPr>
            <w:tcW w:w="1871" w:type="dxa"/>
          </w:tcPr>
          <w:p w14:paraId="76ED7FFE" w14:textId="77777777" w:rsidR="007267F6" w:rsidRDefault="007267F6" w:rsidP="003D49EF">
            <w:pPr>
              <w:pStyle w:val="TableSideHeading"/>
              <w:keepLines w:val="0"/>
              <w:rPr>
                <w:sz w:val="26"/>
                <w:rtl/>
              </w:rPr>
            </w:pPr>
            <w:r>
              <w:rPr>
                <w:rFonts w:hint="cs"/>
                <w:sz w:val="26"/>
                <w:rtl/>
              </w:rPr>
              <w:t>תיקון חוק הביטוח הלאומי</w:t>
            </w:r>
          </w:p>
        </w:tc>
        <w:tc>
          <w:tcPr>
            <w:tcW w:w="624" w:type="dxa"/>
          </w:tcPr>
          <w:p w14:paraId="105430AB" w14:textId="77777777" w:rsidR="007267F6" w:rsidRDefault="007267F6" w:rsidP="003D49EF">
            <w:pPr>
              <w:pStyle w:val="TableText"/>
              <w:keepLines w:val="0"/>
              <w:rPr>
                <w:rtl/>
              </w:rPr>
            </w:pPr>
            <w:r>
              <w:rPr>
                <w:rFonts w:hint="cs"/>
                <w:rtl/>
              </w:rPr>
              <w:t>3.</w:t>
            </w:r>
          </w:p>
        </w:tc>
        <w:tc>
          <w:tcPr>
            <w:tcW w:w="7146" w:type="dxa"/>
            <w:gridSpan w:val="3"/>
          </w:tcPr>
          <w:p w14:paraId="08DBD5E2" w14:textId="77777777" w:rsidR="007267F6" w:rsidRDefault="007267F6" w:rsidP="003D49EF">
            <w:pPr>
              <w:pStyle w:val="TableBlock"/>
              <w:rPr>
                <w:sz w:val="26"/>
                <w:rtl/>
              </w:rPr>
            </w:pPr>
            <w:r>
              <w:rPr>
                <w:rFonts w:hint="cs"/>
                <w:sz w:val="26"/>
                <w:rtl/>
              </w:rPr>
              <w:t>בחוק הביטוח הלאומי [נוסח משולב], התשנ"ה</w:t>
            </w:r>
            <w:r>
              <w:rPr>
                <w:rFonts w:hint="eastAsia"/>
                <w:sz w:val="26"/>
                <w:rtl/>
              </w:rPr>
              <w:t>–1995</w:t>
            </w:r>
            <w:r>
              <w:rPr>
                <w:rStyle w:val="a6"/>
                <w:sz w:val="26"/>
                <w:rtl/>
              </w:rPr>
              <w:footnoteReference w:id="3"/>
            </w:r>
            <w:r>
              <w:rPr>
                <w:rFonts w:hint="eastAsia"/>
                <w:sz w:val="26"/>
                <w:rtl/>
              </w:rPr>
              <w:t xml:space="preserve"> –</w:t>
            </w:r>
          </w:p>
        </w:tc>
      </w:tr>
      <w:tr w:rsidR="007267F6" w:rsidRPr="003D49EF" w14:paraId="2F3094B6" w14:textId="77777777" w:rsidTr="003D49EF">
        <w:trPr>
          <w:cantSplit/>
          <w:trHeight w:val="60"/>
        </w:trPr>
        <w:tc>
          <w:tcPr>
            <w:tcW w:w="1871" w:type="dxa"/>
          </w:tcPr>
          <w:p w14:paraId="110D0254" w14:textId="77777777" w:rsidR="007267F6" w:rsidRPr="00786F1E" w:rsidRDefault="007267F6" w:rsidP="003D49EF">
            <w:pPr>
              <w:pStyle w:val="TableSideHeading"/>
              <w:keepLines w:val="0"/>
              <w:rPr>
                <w:sz w:val="26"/>
              </w:rPr>
            </w:pPr>
          </w:p>
        </w:tc>
        <w:tc>
          <w:tcPr>
            <w:tcW w:w="624" w:type="dxa"/>
          </w:tcPr>
          <w:p w14:paraId="3B1F0724" w14:textId="77777777" w:rsidR="007267F6" w:rsidRPr="00C140B1" w:rsidRDefault="007267F6" w:rsidP="003D49EF">
            <w:pPr>
              <w:pStyle w:val="TableText"/>
              <w:keepLines w:val="0"/>
            </w:pPr>
          </w:p>
        </w:tc>
        <w:tc>
          <w:tcPr>
            <w:tcW w:w="7146" w:type="dxa"/>
            <w:gridSpan w:val="3"/>
          </w:tcPr>
          <w:p w14:paraId="3061B384" w14:textId="736A0715" w:rsidR="007267F6" w:rsidRPr="00786F1E" w:rsidRDefault="007267F6" w:rsidP="003D49EF">
            <w:pPr>
              <w:pStyle w:val="TableBlock"/>
              <w:rPr>
                <w:sz w:val="26"/>
              </w:rPr>
            </w:pPr>
            <w:r>
              <w:rPr>
                <w:rFonts w:hint="cs"/>
                <w:sz w:val="26"/>
                <w:rtl/>
              </w:rPr>
              <w:t>(1)</w:t>
            </w:r>
            <w:r>
              <w:rPr>
                <w:sz w:val="26"/>
                <w:rtl/>
              </w:rPr>
              <w:tab/>
            </w:r>
            <w:r w:rsidR="001409B2">
              <w:rPr>
                <w:rFonts w:hint="cs"/>
                <w:sz w:val="26"/>
                <w:rtl/>
              </w:rPr>
              <w:t>בסעיף 1, בהגדרה "הסכום הבסיסי"</w:t>
            </w:r>
            <w:r w:rsidR="001409B2">
              <w:rPr>
                <w:sz w:val="26"/>
                <w:rtl/>
              </w:rPr>
              <w:softHyphen/>
            </w:r>
            <w:r w:rsidR="001409B2">
              <w:rPr>
                <w:rFonts w:hint="cs"/>
                <w:sz w:val="26"/>
                <w:rtl/>
              </w:rPr>
              <w:t xml:space="preserve"> </w:t>
            </w:r>
            <w:r w:rsidR="001409B2">
              <w:rPr>
                <w:rFonts w:hint="eastAsia"/>
                <w:sz w:val="26"/>
                <w:rtl/>
              </w:rPr>
              <w:t>–</w:t>
            </w:r>
          </w:p>
        </w:tc>
      </w:tr>
      <w:tr w:rsidR="007267F6" w:rsidRPr="003D49EF" w14:paraId="318FABE7" w14:textId="77777777" w:rsidTr="003D49EF">
        <w:trPr>
          <w:cantSplit/>
          <w:trHeight w:val="60"/>
        </w:trPr>
        <w:tc>
          <w:tcPr>
            <w:tcW w:w="1871" w:type="dxa"/>
          </w:tcPr>
          <w:p w14:paraId="75C5E813" w14:textId="77777777" w:rsidR="007267F6" w:rsidRPr="00786F1E" w:rsidRDefault="007267F6" w:rsidP="003D49EF">
            <w:pPr>
              <w:pStyle w:val="TableSideHeading"/>
              <w:ind w:right="0"/>
              <w:rPr>
                <w:sz w:val="26"/>
              </w:rPr>
            </w:pPr>
          </w:p>
        </w:tc>
        <w:tc>
          <w:tcPr>
            <w:tcW w:w="624" w:type="dxa"/>
          </w:tcPr>
          <w:p w14:paraId="44651890" w14:textId="77777777" w:rsidR="007267F6" w:rsidRPr="00C140B1" w:rsidRDefault="007267F6" w:rsidP="003D49EF">
            <w:pPr>
              <w:pStyle w:val="TableText"/>
              <w:ind w:right="0"/>
              <w:jc w:val="both"/>
            </w:pPr>
          </w:p>
        </w:tc>
        <w:tc>
          <w:tcPr>
            <w:tcW w:w="624" w:type="dxa"/>
          </w:tcPr>
          <w:p w14:paraId="756C294C" w14:textId="77777777" w:rsidR="007267F6" w:rsidRPr="00786F1E" w:rsidRDefault="007267F6" w:rsidP="003D49EF">
            <w:pPr>
              <w:pStyle w:val="TableText"/>
              <w:ind w:right="0"/>
              <w:jc w:val="both"/>
              <w:rPr>
                <w:rtl/>
              </w:rPr>
            </w:pPr>
          </w:p>
        </w:tc>
        <w:tc>
          <w:tcPr>
            <w:tcW w:w="6522" w:type="dxa"/>
            <w:gridSpan w:val="2"/>
          </w:tcPr>
          <w:p w14:paraId="51793268" w14:textId="77777777" w:rsidR="007267F6" w:rsidRPr="00786F1E" w:rsidRDefault="007267F6" w:rsidP="003D49EF">
            <w:pPr>
              <w:pStyle w:val="TableBlock"/>
              <w:rPr>
                <w:sz w:val="26"/>
                <w:rtl/>
              </w:rPr>
            </w:pPr>
            <w:r w:rsidRPr="00786F1E">
              <w:rPr>
                <w:rFonts w:hint="cs"/>
                <w:sz w:val="26"/>
                <w:rtl/>
              </w:rPr>
              <w:t>(</w:t>
            </w:r>
            <w:r>
              <w:rPr>
                <w:rFonts w:hint="cs"/>
                <w:sz w:val="26"/>
                <w:rtl/>
              </w:rPr>
              <w:t>א</w:t>
            </w:r>
            <w:r w:rsidRPr="00786F1E">
              <w:rPr>
                <w:rFonts w:hint="cs"/>
                <w:sz w:val="26"/>
                <w:rtl/>
              </w:rPr>
              <w:t>)</w:t>
            </w:r>
            <w:r w:rsidRPr="00786F1E">
              <w:rPr>
                <w:sz w:val="26"/>
                <w:rtl/>
              </w:rPr>
              <w:tab/>
            </w:r>
            <w:r w:rsidRPr="00786F1E">
              <w:rPr>
                <w:rFonts w:hint="cs"/>
                <w:sz w:val="26"/>
                <w:rtl/>
              </w:rPr>
              <w:t>בפסקה (1), פסקת משנה (ד) – תימחק;</w:t>
            </w:r>
          </w:p>
        </w:tc>
      </w:tr>
      <w:tr w:rsidR="007267F6" w:rsidRPr="003D49EF" w14:paraId="6CEE2043" w14:textId="77777777" w:rsidTr="003D49EF">
        <w:trPr>
          <w:cantSplit/>
          <w:trHeight w:val="60"/>
        </w:trPr>
        <w:tc>
          <w:tcPr>
            <w:tcW w:w="1871" w:type="dxa"/>
          </w:tcPr>
          <w:p w14:paraId="6FC29AE0" w14:textId="77777777" w:rsidR="007267F6" w:rsidRPr="00786F1E" w:rsidRDefault="007267F6" w:rsidP="003D49EF">
            <w:pPr>
              <w:pStyle w:val="TableSideHeading"/>
              <w:ind w:right="0"/>
              <w:rPr>
                <w:sz w:val="26"/>
              </w:rPr>
            </w:pPr>
          </w:p>
        </w:tc>
        <w:tc>
          <w:tcPr>
            <w:tcW w:w="624" w:type="dxa"/>
          </w:tcPr>
          <w:p w14:paraId="17BC7B0A" w14:textId="77777777" w:rsidR="007267F6" w:rsidRPr="00C140B1" w:rsidRDefault="007267F6" w:rsidP="003D49EF">
            <w:pPr>
              <w:pStyle w:val="TableText"/>
              <w:ind w:right="0"/>
              <w:jc w:val="both"/>
            </w:pPr>
          </w:p>
        </w:tc>
        <w:tc>
          <w:tcPr>
            <w:tcW w:w="624" w:type="dxa"/>
          </w:tcPr>
          <w:p w14:paraId="34C8E542" w14:textId="77777777" w:rsidR="007267F6" w:rsidRPr="00786F1E" w:rsidRDefault="007267F6" w:rsidP="003D49EF">
            <w:pPr>
              <w:pStyle w:val="TableText"/>
              <w:ind w:right="0"/>
              <w:jc w:val="both"/>
              <w:rPr>
                <w:rtl/>
              </w:rPr>
            </w:pPr>
          </w:p>
        </w:tc>
        <w:tc>
          <w:tcPr>
            <w:tcW w:w="6522" w:type="dxa"/>
            <w:gridSpan w:val="2"/>
          </w:tcPr>
          <w:p w14:paraId="1A0FD86A" w14:textId="77777777" w:rsidR="007267F6" w:rsidRPr="00786F1E" w:rsidRDefault="007267F6" w:rsidP="003D49EF">
            <w:pPr>
              <w:pStyle w:val="TableBlock"/>
              <w:rPr>
                <w:sz w:val="26"/>
                <w:rtl/>
              </w:rPr>
            </w:pPr>
            <w:r w:rsidRPr="00786F1E">
              <w:rPr>
                <w:sz w:val="26"/>
                <w:rtl/>
              </w:rPr>
              <w:t>(</w:t>
            </w:r>
            <w:r>
              <w:rPr>
                <w:rFonts w:hint="cs"/>
                <w:sz w:val="26"/>
                <w:rtl/>
              </w:rPr>
              <w:t>ב</w:t>
            </w:r>
            <w:r w:rsidRPr="00786F1E">
              <w:rPr>
                <w:sz w:val="26"/>
                <w:rtl/>
              </w:rPr>
              <w:t>)</w:t>
            </w:r>
            <w:r w:rsidRPr="00786F1E">
              <w:rPr>
                <w:sz w:val="26"/>
                <w:rtl/>
              </w:rPr>
              <w:tab/>
            </w:r>
            <w:r w:rsidRPr="00786F1E">
              <w:rPr>
                <w:rFonts w:hint="eastAsia"/>
                <w:sz w:val="26"/>
                <w:rtl/>
              </w:rPr>
              <w:t>אחרי</w:t>
            </w:r>
            <w:r w:rsidRPr="00786F1E">
              <w:rPr>
                <w:sz w:val="26"/>
                <w:rtl/>
              </w:rPr>
              <w:t xml:space="preserve">  </w:t>
            </w:r>
            <w:r w:rsidRPr="00786F1E">
              <w:rPr>
                <w:rFonts w:hint="eastAsia"/>
                <w:sz w:val="26"/>
                <w:rtl/>
              </w:rPr>
              <w:t>פסקה</w:t>
            </w:r>
            <w:r w:rsidRPr="00786F1E">
              <w:rPr>
                <w:sz w:val="26"/>
                <w:rtl/>
              </w:rPr>
              <w:t xml:space="preserve"> (1) </w:t>
            </w:r>
            <w:r w:rsidRPr="00786F1E">
              <w:rPr>
                <w:rFonts w:hint="eastAsia"/>
                <w:sz w:val="26"/>
                <w:rtl/>
              </w:rPr>
              <w:t>יבוא</w:t>
            </w:r>
            <w:r w:rsidRPr="00786F1E">
              <w:rPr>
                <w:sz w:val="26"/>
                <w:rtl/>
              </w:rPr>
              <w:t>:</w:t>
            </w:r>
          </w:p>
        </w:tc>
      </w:tr>
      <w:tr w:rsidR="007267F6" w:rsidRPr="003D49EF" w14:paraId="2B66DA27" w14:textId="77777777" w:rsidTr="003D49EF">
        <w:trPr>
          <w:cantSplit/>
          <w:trHeight w:val="60"/>
        </w:trPr>
        <w:tc>
          <w:tcPr>
            <w:tcW w:w="1871" w:type="dxa"/>
          </w:tcPr>
          <w:p w14:paraId="0658AEAB" w14:textId="77777777" w:rsidR="007267F6" w:rsidRPr="00C140B1" w:rsidRDefault="007267F6" w:rsidP="003D49EF">
            <w:pPr>
              <w:pStyle w:val="TableSideHeading"/>
              <w:ind w:right="0"/>
            </w:pPr>
          </w:p>
        </w:tc>
        <w:tc>
          <w:tcPr>
            <w:tcW w:w="624" w:type="dxa"/>
          </w:tcPr>
          <w:p w14:paraId="13318135" w14:textId="77777777" w:rsidR="007267F6" w:rsidRPr="00C140B1" w:rsidRDefault="007267F6" w:rsidP="003D49EF">
            <w:pPr>
              <w:pStyle w:val="TableText"/>
              <w:ind w:right="0"/>
              <w:jc w:val="both"/>
            </w:pPr>
          </w:p>
        </w:tc>
        <w:tc>
          <w:tcPr>
            <w:tcW w:w="624" w:type="dxa"/>
          </w:tcPr>
          <w:p w14:paraId="6D3692BC" w14:textId="77777777" w:rsidR="007267F6" w:rsidRPr="003D49EF" w:rsidRDefault="007267F6" w:rsidP="003D49EF">
            <w:pPr>
              <w:pStyle w:val="TableBlock"/>
              <w:rPr>
                <w:highlight w:val="yellow"/>
              </w:rPr>
            </w:pPr>
          </w:p>
        </w:tc>
        <w:tc>
          <w:tcPr>
            <w:tcW w:w="624" w:type="dxa"/>
          </w:tcPr>
          <w:p w14:paraId="61A8373F" w14:textId="77777777" w:rsidR="007267F6" w:rsidRPr="003D49EF" w:rsidRDefault="007267F6" w:rsidP="003D49EF">
            <w:pPr>
              <w:pStyle w:val="TableText"/>
              <w:ind w:right="0"/>
              <w:jc w:val="both"/>
            </w:pPr>
          </w:p>
        </w:tc>
        <w:tc>
          <w:tcPr>
            <w:tcW w:w="5898" w:type="dxa"/>
          </w:tcPr>
          <w:p w14:paraId="0D5C5CF5" w14:textId="459E9D0D" w:rsidR="007267F6" w:rsidRPr="003D49EF" w:rsidRDefault="007267F6" w:rsidP="003D49EF">
            <w:pPr>
              <w:pStyle w:val="TableBlock"/>
            </w:pPr>
            <w:r w:rsidRPr="003D49EF">
              <w:rPr>
                <w:rtl/>
              </w:rPr>
              <w:t>"(1א)</w:t>
            </w:r>
            <w:r w:rsidRPr="003D49EF">
              <w:rPr>
                <w:rtl/>
              </w:rPr>
              <w:tab/>
            </w:r>
            <w:r w:rsidRPr="003D49EF">
              <w:rPr>
                <w:rFonts w:hint="eastAsia"/>
                <w:rtl/>
              </w:rPr>
              <w:t>לעניין</w:t>
            </w:r>
            <w:r w:rsidRPr="003D49EF">
              <w:rPr>
                <w:rtl/>
              </w:rPr>
              <w:t xml:space="preserve"> </w:t>
            </w:r>
            <w:r w:rsidRPr="003D49EF">
              <w:rPr>
                <w:rFonts w:hint="eastAsia"/>
                <w:rtl/>
              </w:rPr>
              <w:t>קצבאות</w:t>
            </w:r>
            <w:r w:rsidRPr="003D49EF">
              <w:rPr>
                <w:rtl/>
              </w:rPr>
              <w:t xml:space="preserve"> </w:t>
            </w:r>
            <w:r w:rsidRPr="003D49EF">
              <w:rPr>
                <w:rFonts w:hint="eastAsia"/>
                <w:rtl/>
              </w:rPr>
              <w:t>המשתלמות</w:t>
            </w:r>
            <w:r w:rsidRPr="003D49EF">
              <w:rPr>
                <w:rtl/>
              </w:rPr>
              <w:t xml:space="preserve"> </w:t>
            </w:r>
            <w:r w:rsidRPr="003D49EF">
              <w:rPr>
                <w:rFonts w:hint="eastAsia"/>
                <w:rtl/>
              </w:rPr>
              <w:t>לפי</w:t>
            </w:r>
            <w:r w:rsidRPr="003D49EF">
              <w:rPr>
                <w:rtl/>
              </w:rPr>
              <w:t xml:space="preserve"> </w:t>
            </w:r>
            <w:r w:rsidRPr="003D49EF">
              <w:rPr>
                <w:rFonts w:hint="eastAsia"/>
                <w:rtl/>
              </w:rPr>
              <w:t>פרק</w:t>
            </w:r>
            <w:r w:rsidRPr="003D49EF">
              <w:rPr>
                <w:rtl/>
              </w:rPr>
              <w:t xml:space="preserve"> </w:t>
            </w:r>
            <w:r w:rsidRPr="003D49EF">
              <w:rPr>
                <w:rFonts w:hint="eastAsia"/>
                <w:rtl/>
              </w:rPr>
              <w:t>ט</w:t>
            </w:r>
            <w:r w:rsidRPr="003D49EF">
              <w:rPr>
                <w:rtl/>
              </w:rPr>
              <w:t xml:space="preserve">' </w:t>
            </w:r>
            <w:r w:rsidRPr="003D49EF">
              <w:rPr>
                <w:rFonts w:hint="eastAsia"/>
                <w:rtl/>
              </w:rPr>
              <w:t>–</w:t>
            </w:r>
            <w:r w:rsidRPr="003D49EF">
              <w:rPr>
                <w:rtl/>
              </w:rPr>
              <w:t xml:space="preserve"> 8757 </w:t>
            </w:r>
            <w:r w:rsidRPr="003D49EF">
              <w:rPr>
                <w:rFonts w:hint="eastAsia"/>
                <w:rtl/>
              </w:rPr>
              <w:t>שקלים</w:t>
            </w:r>
            <w:r w:rsidRPr="003D49EF">
              <w:rPr>
                <w:rtl/>
              </w:rPr>
              <w:t xml:space="preserve"> </w:t>
            </w:r>
            <w:r w:rsidRPr="003D49EF">
              <w:rPr>
                <w:rFonts w:hint="eastAsia"/>
                <w:rtl/>
              </w:rPr>
              <w:t>חדשים</w:t>
            </w:r>
            <w:r w:rsidR="001409B2">
              <w:rPr>
                <w:rFonts w:hint="cs"/>
                <w:rtl/>
              </w:rPr>
              <w:t>;</w:t>
            </w:r>
            <w:r w:rsidRPr="003D49EF">
              <w:rPr>
                <w:rtl/>
              </w:rPr>
              <w:t>";</w:t>
            </w:r>
          </w:p>
        </w:tc>
      </w:tr>
      <w:tr w:rsidR="007267F6" w:rsidRPr="003D49EF" w14:paraId="6F3FA74A" w14:textId="77777777" w:rsidTr="003D49EF">
        <w:trPr>
          <w:cantSplit/>
          <w:trHeight w:val="60"/>
        </w:trPr>
        <w:tc>
          <w:tcPr>
            <w:tcW w:w="1871" w:type="dxa"/>
          </w:tcPr>
          <w:p w14:paraId="23CBD805" w14:textId="77777777" w:rsidR="007267F6" w:rsidRPr="00C140B1" w:rsidRDefault="007267F6" w:rsidP="003D49EF">
            <w:pPr>
              <w:pStyle w:val="TableSideHeading"/>
              <w:ind w:right="0"/>
            </w:pPr>
          </w:p>
        </w:tc>
        <w:tc>
          <w:tcPr>
            <w:tcW w:w="624" w:type="dxa"/>
          </w:tcPr>
          <w:p w14:paraId="5E2B0717" w14:textId="77777777" w:rsidR="007267F6" w:rsidRPr="00C140B1" w:rsidRDefault="007267F6" w:rsidP="003D49EF">
            <w:pPr>
              <w:pStyle w:val="TableText"/>
              <w:ind w:right="0"/>
              <w:jc w:val="both"/>
            </w:pPr>
          </w:p>
        </w:tc>
        <w:tc>
          <w:tcPr>
            <w:tcW w:w="624" w:type="dxa"/>
          </w:tcPr>
          <w:p w14:paraId="33BBDDF0" w14:textId="77777777" w:rsidR="007267F6" w:rsidRPr="00786F1E" w:rsidRDefault="007267F6" w:rsidP="003D49EF">
            <w:pPr>
              <w:pStyle w:val="TableText"/>
              <w:ind w:right="0"/>
              <w:jc w:val="both"/>
              <w:rPr>
                <w:highlight w:val="yellow"/>
              </w:rPr>
            </w:pPr>
          </w:p>
        </w:tc>
        <w:tc>
          <w:tcPr>
            <w:tcW w:w="6522" w:type="dxa"/>
            <w:gridSpan w:val="2"/>
          </w:tcPr>
          <w:p w14:paraId="493E1F32" w14:textId="77777777" w:rsidR="007267F6" w:rsidRPr="003D49EF" w:rsidRDefault="007267F6" w:rsidP="003D49EF">
            <w:pPr>
              <w:pStyle w:val="TableBlock"/>
            </w:pPr>
            <w:r w:rsidRPr="003D49EF">
              <w:rPr>
                <w:rtl/>
              </w:rPr>
              <w:t>(</w:t>
            </w:r>
            <w:r>
              <w:rPr>
                <w:rFonts w:hint="cs"/>
                <w:rtl/>
              </w:rPr>
              <w:t>ג</w:t>
            </w:r>
            <w:r w:rsidRPr="003D49EF">
              <w:rPr>
                <w:rtl/>
              </w:rPr>
              <w:t>)</w:t>
            </w:r>
            <w:r w:rsidRPr="003D49EF">
              <w:rPr>
                <w:rtl/>
              </w:rPr>
              <w:tab/>
            </w:r>
            <w:r w:rsidRPr="003D49EF">
              <w:rPr>
                <w:rFonts w:hint="eastAsia"/>
                <w:rtl/>
              </w:rPr>
              <w:t>בפסקה</w:t>
            </w:r>
            <w:r w:rsidRPr="003D49EF">
              <w:rPr>
                <w:rtl/>
              </w:rPr>
              <w:t xml:space="preserve"> (3), </w:t>
            </w:r>
            <w:r w:rsidRPr="003D49EF">
              <w:rPr>
                <w:rFonts w:hint="eastAsia"/>
                <w:rtl/>
              </w:rPr>
              <w:t>במקום</w:t>
            </w:r>
            <w:r w:rsidRPr="003D49EF">
              <w:rPr>
                <w:rtl/>
              </w:rPr>
              <w:t xml:space="preserve"> "או (2)" </w:t>
            </w:r>
            <w:r w:rsidRPr="003D49EF">
              <w:rPr>
                <w:rFonts w:hint="eastAsia"/>
                <w:rtl/>
              </w:rPr>
              <w:t>יבוא</w:t>
            </w:r>
            <w:r w:rsidRPr="003D49EF">
              <w:rPr>
                <w:rtl/>
              </w:rPr>
              <w:t xml:space="preserve"> "(1א) </w:t>
            </w:r>
            <w:r w:rsidRPr="003D49EF">
              <w:rPr>
                <w:rFonts w:hint="eastAsia"/>
                <w:rtl/>
              </w:rPr>
              <w:t>או</w:t>
            </w:r>
            <w:r w:rsidRPr="003D49EF">
              <w:rPr>
                <w:rtl/>
              </w:rPr>
              <w:t xml:space="preserve"> (2)";</w:t>
            </w:r>
          </w:p>
        </w:tc>
      </w:tr>
      <w:tr w:rsidR="007267F6" w:rsidRPr="003D49EF" w14:paraId="0325F7C2" w14:textId="77777777" w:rsidTr="003D49EF">
        <w:trPr>
          <w:cantSplit/>
          <w:trHeight w:val="60"/>
        </w:trPr>
        <w:tc>
          <w:tcPr>
            <w:tcW w:w="1871" w:type="dxa"/>
          </w:tcPr>
          <w:p w14:paraId="7801B1D3" w14:textId="77777777" w:rsidR="007267F6" w:rsidRPr="00C140B1" w:rsidRDefault="007267F6" w:rsidP="003D49EF">
            <w:pPr>
              <w:pStyle w:val="TableSideHeading"/>
            </w:pPr>
          </w:p>
        </w:tc>
        <w:tc>
          <w:tcPr>
            <w:tcW w:w="624" w:type="dxa"/>
          </w:tcPr>
          <w:p w14:paraId="740FD3E0" w14:textId="77777777" w:rsidR="007267F6" w:rsidRPr="00C140B1" w:rsidRDefault="007267F6" w:rsidP="003D49EF">
            <w:pPr>
              <w:pStyle w:val="TableText"/>
            </w:pPr>
          </w:p>
        </w:tc>
        <w:tc>
          <w:tcPr>
            <w:tcW w:w="624" w:type="dxa"/>
          </w:tcPr>
          <w:p w14:paraId="1E402BB1" w14:textId="77777777" w:rsidR="007267F6" w:rsidRPr="003D49EF" w:rsidRDefault="007267F6" w:rsidP="003D49EF">
            <w:pPr>
              <w:pStyle w:val="TableBlock"/>
              <w:rPr>
                <w:highlight w:val="yellow"/>
              </w:rPr>
            </w:pPr>
          </w:p>
        </w:tc>
        <w:tc>
          <w:tcPr>
            <w:tcW w:w="6522" w:type="dxa"/>
            <w:gridSpan w:val="2"/>
          </w:tcPr>
          <w:p w14:paraId="1ED8EDC2" w14:textId="7A9C561E" w:rsidR="007267F6" w:rsidRPr="003D49EF" w:rsidRDefault="007267F6" w:rsidP="003D49EF">
            <w:pPr>
              <w:pStyle w:val="TableBlock"/>
              <w:rPr>
                <w:rtl/>
              </w:rPr>
            </w:pPr>
            <w:r w:rsidRPr="003D49EF">
              <w:rPr>
                <w:rtl/>
              </w:rPr>
              <w:t>(</w:t>
            </w:r>
            <w:r>
              <w:rPr>
                <w:rFonts w:hint="cs"/>
                <w:rtl/>
              </w:rPr>
              <w:t>ד</w:t>
            </w:r>
            <w:r w:rsidRPr="003D49EF">
              <w:rPr>
                <w:rtl/>
              </w:rPr>
              <w:t>)</w:t>
            </w:r>
            <w:r w:rsidRPr="003D49EF">
              <w:rPr>
                <w:rtl/>
              </w:rPr>
              <w:tab/>
            </w:r>
            <w:r w:rsidRPr="003D49EF">
              <w:rPr>
                <w:rFonts w:hint="eastAsia"/>
                <w:rtl/>
              </w:rPr>
              <w:t>אחרי</w:t>
            </w:r>
            <w:r w:rsidRPr="003D49EF">
              <w:rPr>
                <w:rtl/>
              </w:rPr>
              <w:t xml:space="preserve"> </w:t>
            </w:r>
            <w:r w:rsidRPr="003D49EF">
              <w:rPr>
                <w:rFonts w:hint="eastAsia"/>
                <w:rtl/>
              </w:rPr>
              <w:t>פסקה</w:t>
            </w:r>
            <w:r w:rsidR="001409B2">
              <w:rPr>
                <w:rtl/>
              </w:rPr>
              <w:t xml:space="preserve"> (3)</w:t>
            </w:r>
            <w:r w:rsidRPr="003D49EF">
              <w:rPr>
                <w:rtl/>
              </w:rPr>
              <w:t xml:space="preserve"> </w:t>
            </w:r>
            <w:r w:rsidRPr="003D49EF">
              <w:rPr>
                <w:rFonts w:hint="eastAsia"/>
                <w:rtl/>
              </w:rPr>
              <w:t>יבוא</w:t>
            </w:r>
            <w:r w:rsidRPr="003D49EF">
              <w:rPr>
                <w:rtl/>
              </w:rPr>
              <w:t>:</w:t>
            </w:r>
          </w:p>
        </w:tc>
      </w:tr>
      <w:tr w:rsidR="007267F6" w:rsidRPr="003D49EF" w14:paraId="79586319" w14:textId="77777777" w:rsidTr="003D49EF">
        <w:trPr>
          <w:cantSplit/>
          <w:trHeight w:val="60"/>
        </w:trPr>
        <w:tc>
          <w:tcPr>
            <w:tcW w:w="1871" w:type="dxa"/>
          </w:tcPr>
          <w:p w14:paraId="629E7D81" w14:textId="77777777" w:rsidR="007267F6" w:rsidRPr="00C140B1" w:rsidRDefault="007267F6" w:rsidP="003D49EF">
            <w:pPr>
              <w:pStyle w:val="TableSideHeading"/>
            </w:pPr>
          </w:p>
        </w:tc>
        <w:tc>
          <w:tcPr>
            <w:tcW w:w="624" w:type="dxa"/>
          </w:tcPr>
          <w:p w14:paraId="7541A843" w14:textId="77777777" w:rsidR="007267F6" w:rsidRPr="00C140B1" w:rsidRDefault="007267F6" w:rsidP="003D49EF">
            <w:pPr>
              <w:pStyle w:val="TableText"/>
            </w:pPr>
          </w:p>
        </w:tc>
        <w:tc>
          <w:tcPr>
            <w:tcW w:w="624" w:type="dxa"/>
          </w:tcPr>
          <w:p w14:paraId="72E1007B" w14:textId="77777777" w:rsidR="007267F6" w:rsidRPr="003D49EF" w:rsidRDefault="007267F6" w:rsidP="003D49EF">
            <w:pPr>
              <w:pStyle w:val="TableBlock"/>
              <w:rPr>
                <w:highlight w:val="yellow"/>
              </w:rPr>
            </w:pPr>
          </w:p>
        </w:tc>
        <w:tc>
          <w:tcPr>
            <w:tcW w:w="624" w:type="dxa"/>
          </w:tcPr>
          <w:p w14:paraId="3CDC6F7C" w14:textId="77777777" w:rsidR="007267F6" w:rsidRPr="003D49EF" w:rsidRDefault="007267F6" w:rsidP="003D49EF">
            <w:pPr>
              <w:pStyle w:val="TableBlock"/>
            </w:pPr>
          </w:p>
        </w:tc>
        <w:tc>
          <w:tcPr>
            <w:tcW w:w="5898" w:type="dxa"/>
          </w:tcPr>
          <w:p w14:paraId="6FADCB2D" w14:textId="77777777" w:rsidR="007267F6" w:rsidRPr="003D49EF" w:rsidRDefault="007267F6" w:rsidP="003D49EF">
            <w:pPr>
              <w:pStyle w:val="TableBlock"/>
              <w:rPr>
                <w:rtl/>
              </w:rPr>
            </w:pPr>
            <w:r w:rsidRPr="003D49EF">
              <w:rPr>
                <w:rtl/>
              </w:rPr>
              <w:t>"(4)</w:t>
            </w:r>
            <w:r w:rsidRPr="003D49EF">
              <w:rPr>
                <w:rtl/>
              </w:rPr>
              <w:tab/>
              <w:t>לעניין קצב</w:t>
            </w:r>
            <w:r w:rsidRPr="003D49EF">
              <w:rPr>
                <w:rFonts w:hint="eastAsia"/>
                <w:rtl/>
              </w:rPr>
              <w:t>או</w:t>
            </w:r>
            <w:r w:rsidRPr="003D49EF">
              <w:rPr>
                <w:rtl/>
              </w:rPr>
              <w:t>ת המשתלמ</w:t>
            </w:r>
            <w:r w:rsidRPr="003D49EF">
              <w:rPr>
                <w:rFonts w:hint="eastAsia"/>
                <w:rtl/>
              </w:rPr>
              <w:t>ו</w:t>
            </w:r>
            <w:r w:rsidRPr="003D49EF">
              <w:rPr>
                <w:rtl/>
              </w:rPr>
              <w:t>ת לפי הורא</w:t>
            </w:r>
            <w:r w:rsidRPr="003D49EF">
              <w:rPr>
                <w:rFonts w:hint="eastAsia"/>
                <w:rtl/>
              </w:rPr>
              <w:t>ו</w:t>
            </w:r>
            <w:r w:rsidRPr="003D49EF">
              <w:rPr>
                <w:rtl/>
              </w:rPr>
              <w:t xml:space="preserve">ת פרק ט' – ב-1 בינואר של כל שנה </w:t>
            </w:r>
            <w:r w:rsidRPr="003D49EF">
              <w:rPr>
                <w:rFonts w:hint="eastAsia"/>
                <w:rtl/>
              </w:rPr>
              <w:t>לפי</w:t>
            </w:r>
            <w:r w:rsidRPr="003D49EF">
              <w:rPr>
                <w:rtl/>
              </w:rPr>
              <w:t xml:space="preserve"> שיעור עליית השכר הממוצע לעומת השכר הממוצע  </w:t>
            </w:r>
            <w:r w:rsidRPr="003D49EF">
              <w:rPr>
                <w:rFonts w:hint="eastAsia"/>
                <w:rtl/>
              </w:rPr>
              <w:t>ב</w:t>
            </w:r>
            <w:r w:rsidRPr="003D49EF">
              <w:rPr>
                <w:rtl/>
              </w:rPr>
              <w:t>- 1 בינואר של השנה הקודמת;"</w:t>
            </w:r>
            <w:r>
              <w:rPr>
                <w:rFonts w:hint="cs"/>
                <w:rtl/>
              </w:rPr>
              <w:t>;</w:t>
            </w:r>
          </w:p>
        </w:tc>
      </w:tr>
      <w:tr w:rsidR="007267F6" w:rsidRPr="003D49EF" w14:paraId="4D4C9ADA" w14:textId="77777777" w:rsidTr="003D49EF">
        <w:trPr>
          <w:cantSplit/>
          <w:trHeight w:val="60"/>
        </w:trPr>
        <w:tc>
          <w:tcPr>
            <w:tcW w:w="1871" w:type="dxa"/>
          </w:tcPr>
          <w:p w14:paraId="4EDEA9B2" w14:textId="77777777" w:rsidR="007267F6" w:rsidRPr="00C140B1" w:rsidRDefault="007267F6" w:rsidP="003D49EF">
            <w:pPr>
              <w:pStyle w:val="TableSideHeading"/>
            </w:pPr>
          </w:p>
        </w:tc>
        <w:tc>
          <w:tcPr>
            <w:tcW w:w="624" w:type="dxa"/>
          </w:tcPr>
          <w:p w14:paraId="4F20F5FE" w14:textId="77777777" w:rsidR="007267F6" w:rsidRPr="00C140B1" w:rsidRDefault="007267F6" w:rsidP="003D49EF">
            <w:pPr>
              <w:pStyle w:val="TableText"/>
            </w:pPr>
          </w:p>
        </w:tc>
        <w:tc>
          <w:tcPr>
            <w:tcW w:w="7146" w:type="dxa"/>
            <w:gridSpan w:val="3"/>
          </w:tcPr>
          <w:p w14:paraId="3E89F36E" w14:textId="77777777" w:rsidR="007267F6" w:rsidRPr="00786F1E" w:rsidRDefault="007267F6" w:rsidP="003D49EF">
            <w:pPr>
              <w:pStyle w:val="TableBlock"/>
              <w:rPr>
                <w:rtl/>
              </w:rPr>
            </w:pPr>
            <w:r>
              <w:rPr>
                <w:rFonts w:hint="cs"/>
                <w:rtl/>
              </w:rPr>
              <w:t>(2)</w:t>
            </w:r>
            <w:r>
              <w:rPr>
                <w:rtl/>
              </w:rPr>
              <w:tab/>
            </w:r>
            <w:r>
              <w:rPr>
                <w:rFonts w:hint="cs"/>
                <w:rtl/>
              </w:rPr>
              <w:t>בסעיף 20</w:t>
            </w:r>
            <w:r w:rsidRPr="00786F1E">
              <w:rPr>
                <w:rtl/>
              </w:rPr>
              <w:t>0(א)</w:t>
            </w:r>
            <w:r w:rsidRPr="003D49EF">
              <w:rPr>
                <w:rtl/>
              </w:rPr>
              <w:t xml:space="preserve">, </w:t>
            </w:r>
            <w:r w:rsidRPr="003D49EF">
              <w:rPr>
                <w:rFonts w:hint="eastAsia"/>
                <w:rtl/>
              </w:rPr>
              <w:t>במקום</w:t>
            </w:r>
            <w:r w:rsidRPr="003D49EF">
              <w:rPr>
                <w:rtl/>
              </w:rPr>
              <w:t xml:space="preserve"> "29%"</w:t>
            </w:r>
            <w:r>
              <w:rPr>
                <w:rFonts w:hint="cs"/>
                <w:rtl/>
              </w:rPr>
              <w:t xml:space="preserve"> יבוא "44.5%";</w:t>
            </w:r>
          </w:p>
        </w:tc>
      </w:tr>
      <w:tr w:rsidR="007267F6" w:rsidRPr="003D49EF" w14:paraId="1AC0ED78" w14:textId="77777777" w:rsidTr="003D49EF">
        <w:trPr>
          <w:cantSplit/>
          <w:trHeight w:val="60"/>
        </w:trPr>
        <w:tc>
          <w:tcPr>
            <w:tcW w:w="1871" w:type="dxa"/>
          </w:tcPr>
          <w:p w14:paraId="0EDD7983" w14:textId="77777777" w:rsidR="007267F6" w:rsidRPr="00C140B1" w:rsidRDefault="007267F6" w:rsidP="003D49EF">
            <w:pPr>
              <w:pStyle w:val="TableSideHeading"/>
            </w:pPr>
          </w:p>
        </w:tc>
        <w:tc>
          <w:tcPr>
            <w:tcW w:w="624" w:type="dxa"/>
          </w:tcPr>
          <w:p w14:paraId="618B41AC" w14:textId="77777777" w:rsidR="007267F6" w:rsidRPr="00C140B1" w:rsidRDefault="007267F6" w:rsidP="003D49EF">
            <w:pPr>
              <w:pStyle w:val="TableText"/>
            </w:pPr>
          </w:p>
        </w:tc>
        <w:tc>
          <w:tcPr>
            <w:tcW w:w="7146" w:type="dxa"/>
            <w:gridSpan w:val="3"/>
          </w:tcPr>
          <w:p w14:paraId="36634E55" w14:textId="77777777" w:rsidR="007267F6" w:rsidRDefault="007267F6" w:rsidP="003D49EF">
            <w:pPr>
              <w:pStyle w:val="TableBlock"/>
              <w:rPr>
                <w:rtl/>
              </w:rPr>
            </w:pPr>
            <w:r>
              <w:rPr>
                <w:rFonts w:hint="cs"/>
                <w:rtl/>
              </w:rPr>
              <w:t>(3)</w:t>
            </w:r>
            <w:r>
              <w:rPr>
                <w:rtl/>
              </w:rPr>
              <w:tab/>
            </w:r>
            <w:r w:rsidRPr="00C0046C">
              <w:rPr>
                <w:rFonts w:hint="cs"/>
                <w:rtl/>
              </w:rPr>
              <w:t>בלוח ח'</w:t>
            </w:r>
            <w:r>
              <w:rPr>
                <w:rFonts w:hint="cs"/>
                <w:rtl/>
              </w:rPr>
              <w:t>1</w:t>
            </w:r>
            <w:r w:rsidRPr="00C0046C">
              <w:rPr>
                <w:rFonts w:hint="cs"/>
                <w:rtl/>
              </w:rPr>
              <w:t>, בטור א'</w:t>
            </w:r>
            <w:r>
              <w:rPr>
                <w:rFonts w:hint="cs"/>
                <w:rtl/>
              </w:rPr>
              <w:t>, בכל מקום, במקום "29%" יבוא "44.5%".</w:t>
            </w:r>
          </w:p>
        </w:tc>
      </w:tr>
      <w:tr w:rsidR="007267F6" w14:paraId="0C5EE27B" w14:textId="77777777" w:rsidTr="003D49EF">
        <w:trPr>
          <w:cantSplit/>
          <w:trHeight w:val="60"/>
        </w:trPr>
        <w:tc>
          <w:tcPr>
            <w:tcW w:w="1871" w:type="dxa"/>
          </w:tcPr>
          <w:p w14:paraId="7662DF38" w14:textId="77777777" w:rsidR="007267F6" w:rsidRDefault="007267F6" w:rsidP="003D49EF">
            <w:pPr>
              <w:pStyle w:val="TableSideHeading"/>
              <w:keepLines w:val="0"/>
              <w:rPr>
                <w:sz w:val="26"/>
                <w:rtl/>
              </w:rPr>
            </w:pPr>
            <w:r>
              <w:rPr>
                <w:rFonts w:hint="cs"/>
                <w:sz w:val="26"/>
                <w:rtl/>
              </w:rPr>
              <w:t>תקנות ראשונות</w:t>
            </w:r>
          </w:p>
        </w:tc>
        <w:tc>
          <w:tcPr>
            <w:tcW w:w="624" w:type="dxa"/>
          </w:tcPr>
          <w:p w14:paraId="4A1A6440" w14:textId="77777777" w:rsidR="007267F6" w:rsidRDefault="007267F6" w:rsidP="003D49EF">
            <w:pPr>
              <w:pStyle w:val="TableText"/>
              <w:keepLines w:val="0"/>
              <w:rPr>
                <w:rtl/>
              </w:rPr>
            </w:pPr>
            <w:r>
              <w:rPr>
                <w:rFonts w:hint="cs"/>
                <w:rtl/>
              </w:rPr>
              <w:t>4.</w:t>
            </w:r>
          </w:p>
        </w:tc>
        <w:tc>
          <w:tcPr>
            <w:tcW w:w="7146" w:type="dxa"/>
            <w:gridSpan w:val="3"/>
          </w:tcPr>
          <w:p w14:paraId="7184BD4B" w14:textId="77777777" w:rsidR="007267F6" w:rsidRDefault="007267F6" w:rsidP="003D49EF">
            <w:pPr>
              <w:pStyle w:val="TableBlock"/>
              <w:rPr>
                <w:sz w:val="26"/>
                <w:rtl/>
              </w:rPr>
            </w:pPr>
            <w:r>
              <w:rPr>
                <w:rFonts w:hint="cs"/>
                <w:sz w:val="26"/>
                <w:rtl/>
              </w:rPr>
              <w:t>תקנות ראשונות בעניינים המפורטים בסעיף 2 לחוק זה יובאו לאישור הוועדה עד ליום ז' בטבת התשע"ח (25 בדצמבר 2017).</w:t>
            </w:r>
          </w:p>
        </w:tc>
      </w:tr>
    </w:tbl>
    <w:p w14:paraId="05B96578" w14:textId="77777777" w:rsidR="001409B2" w:rsidRDefault="001409B2" w:rsidP="007267F6">
      <w:pPr>
        <w:pStyle w:val="HeadDivreiHesber"/>
        <w:rPr>
          <w:rtl/>
        </w:rPr>
      </w:pPr>
      <w:r>
        <w:rPr>
          <w:rtl/>
        </w:rPr>
        <w:br w:type="page"/>
      </w:r>
    </w:p>
    <w:p w14:paraId="301F7D18" w14:textId="0F95ED33" w:rsidR="007267F6" w:rsidRDefault="007267F6" w:rsidP="007267F6">
      <w:pPr>
        <w:pStyle w:val="HeadDivreiHesber"/>
        <w:rPr>
          <w:rtl/>
        </w:rPr>
      </w:pPr>
      <w:r w:rsidRPr="0027450A">
        <w:rPr>
          <w:rFonts w:hint="cs"/>
          <w:rtl/>
        </w:rPr>
        <w:lastRenderedPageBreak/>
        <w:t>דברי הסבר</w:t>
      </w:r>
    </w:p>
    <w:p w14:paraId="430ED963" w14:textId="77777777" w:rsidR="007267F6" w:rsidRPr="00EF5954" w:rsidRDefault="007267F6" w:rsidP="007267F6">
      <w:pPr>
        <w:pStyle w:val="Hesber"/>
        <w:rPr>
          <w:rtl/>
        </w:rPr>
      </w:pPr>
      <w:r>
        <w:rPr>
          <w:rFonts w:hint="cs"/>
          <w:rtl/>
        </w:rPr>
        <w:t xml:space="preserve">בשני העשורים </w:t>
      </w:r>
      <w:r w:rsidRPr="00EF5954">
        <w:rPr>
          <w:rFonts w:hint="cs"/>
          <w:rtl/>
        </w:rPr>
        <w:t>האחרונים ציבור הנכים במדינת ישראל סובל משחיקה עקבית וקשה בזכויות הסוציאליות הניתנות לו בחוק. רק ב</w:t>
      </w:r>
      <w:r w:rsidRPr="00EF5954">
        <w:rPr>
          <w:rtl/>
        </w:rPr>
        <w:t xml:space="preserve">עשור האחרון שיעור העוני </w:t>
      </w:r>
      <w:r w:rsidRPr="00EF5954">
        <w:rPr>
          <w:rFonts w:hint="cs"/>
          <w:rtl/>
        </w:rPr>
        <w:t>בקרב ציבור ה</w:t>
      </w:r>
      <w:r w:rsidRPr="00EF5954">
        <w:rPr>
          <w:rtl/>
        </w:rPr>
        <w:t>נכים בישראל גדל פי ארבעה</w:t>
      </w:r>
      <w:r w:rsidRPr="00EF5954">
        <w:rPr>
          <w:rFonts w:hint="cs"/>
          <w:rtl/>
        </w:rPr>
        <w:t xml:space="preserve"> ביחס לגידול </w:t>
      </w:r>
      <w:r w:rsidRPr="00EF5954">
        <w:rPr>
          <w:rtl/>
        </w:rPr>
        <w:t xml:space="preserve">בשיעור העוני </w:t>
      </w:r>
      <w:r w:rsidRPr="00EF5954">
        <w:rPr>
          <w:rFonts w:hint="cs"/>
          <w:rtl/>
        </w:rPr>
        <w:t>ב</w:t>
      </w:r>
      <w:r w:rsidRPr="00EF5954">
        <w:rPr>
          <w:rtl/>
        </w:rPr>
        <w:t>אוכלוסייה</w:t>
      </w:r>
      <w:r w:rsidRPr="00EF5954">
        <w:rPr>
          <w:rFonts w:hint="cs"/>
          <w:rtl/>
        </w:rPr>
        <w:t xml:space="preserve"> הכללית.</w:t>
      </w:r>
      <w:r w:rsidRPr="00EF5954">
        <w:rPr>
          <w:rtl/>
        </w:rPr>
        <w:t xml:space="preserve"> </w:t>
      </w:r>
      <w:r w:rsidRPr="00EF5954">
        <w:rPr>
          <w:rFonts w:hint="cs"/>
          <w:rtl/>
        </w:rPr>
        <w:t>קצבת הנכות הנוכחית שממנה מתקיימים מ-230 אלף נכים</w:t>
      </w:r>
      <w:r w:rsidRPr="00EF5954">
        <w:rPr>
          <w:rtl/>
        </w:rPr>
        <w:t xml:space="preserve">, </w:t>
      </w:r>
      <w:r w:rsidRPr="00EF5954">
        <w:rPr>
          <w:rFonts w:hint="cs"/>
          <w:rtl/>
        </w:rPr>
        <w:t>עומדת על סכום של</w:t>
      </w:r>
      <w:r w:rsidRPr="00EF5954">
        <w:rPr>
          <w:rtl/>
        </w:rPr>
        <w:t xml:space="preserve"> 2,342 </w:t>
      </w:r>
      <w:r w:rsidRPr="00EF5954">
        <w:rPr>
          <w:rFonts w:hint="cs"/>
          <w:rtl/>
        </w:rPr>
        <w:t>שקלים חדשים ואינה מאפשרת קיום בכבוד</w:t>
      </w:r>
      <w:r w:rsidRPr="00EF5954">
        <w:rPr>
          <w:rtl/>
        </w:rPr>
        <w:t xml:space="preserve">. </w:t>
      </w:r>
      <w:r w:rsidRPr="00EF5954">
        <w:rPr>
          <w:rFonts w:hint="cs"/>
          <w:rtl/>
        </w:rPr>
        <w:t>לצורך המחשה, למרות ש</w:t>
      </w:r>
      <w:r w:rsidRPr="00EF5954">
        <w:rPr>
          <w:rtl/>
        </w:rPr>
        <w:t>שכר המינימום עלה ב-50 אחוזים</w:t>
      </w:r>
      <w:r w:rsidRPr="00EF5954">
        <w:rPr>
          <w:rFonts w:hint="cs"/>
          <w:rtl/>
        </w:rPr>
        <w:t xml:space="preserve"> מאז שנת 2003</w:t>
      </w:r>
      <w:r w:rsidRPr="00EF5954">
        <w:rPr>
          <w:rtl/>
        </w:rPr>
        <w:t xml:space="preserve">, קצבת הנכות עלתה </w:t>
      </w:r>
      <w:r w:rsidRPr="00EF5954">
        <w:rPr>
          <w:rFonts w:hint="cs"/>
          <w:rtl/>
        </w:rPr>
        <w:t xml:space="preserve">באותה התקופה </w:t>
      </w:r>
      <w:r w:rsidRPr="00EF5954">
        <w:rPr>
          <w:rtl/>
        </w:rPr>
        <w:t xml:space="preserve">ב-8 אחוזים בלבד. </w:t>
      </w:r>
      <w:r w:rsidRPr="00EF5954">
        <w:rPr>
          <w:rFonts w:hint="cs"/>
          <w:rtl/>
        </w:rPr>
        <w:t>לשחיקה העצומה בקצבאות הנכים מספר גורמים מרכזיים: העלייה החדה ביוקר המחיה הכללי בישראל, העובדה שגובה הקצבאות מוצמד למדד המחירים לצרכן במקום לשכר במשק, וכן שיטת הקיזוז הבעייתית של הקצבאות משכרם של נכים היוצאים לעבוד (שיטה המכונה "דיסריגרד").</w:t>
      </w:r>
    </w:p>
    <w:p w14:paraId="2BB67260" w14:textId="77777777" w:rsidR="007267F6" w:rsidRPr="00EF5954" w:rsidRDefault="007267F6" w:rsidP="007267F6">
      <w:pPr>
        <w:pStyle w:val="Hesber"/>
        <w:rPr>
          <w:rtl/>
        </w:rPr>
      </w:pPr>
      <w:r w:rsidRPr="00EF5954">
        <w:rPr>
          <w:rFonts w:hint="cs"/>
          <w:rtl/>
        </w:rPr>
        <w:t>מגמות אלה דרדרו במרוצת השנים חלקים גדולים מאוכלוסיית הנכים אל עבר קו העוני ומתחת לו. מצוקה זו הביאה למחאה חברתית חריפה שבזכותה חלחלה לציבור הישראלי ההבנה שמדינת ישראל חייבת להקצות משאבים משמעותיים לטובת תיקון העוול ושיפור חיי הנכים.</w:t>
      </w:r>
    </w:p>
    <w:p w14:paraId="114E8453" w14:textId="06FFF966" w:rsidR="007267F6" w:rsidRPr="00EF5954" w:rsidRDefault="007267F6" w:rsidP="007267F6">
      <w:pPr>
        <w:pStyle w:val="Hesber"/>
        <w:rPr>
          <w:rtl/>
        </w:rPr>
      </w:pPr>
      <w:r w:rsidRPr="00EF5954">
        <w:rPr>
          <w:rFonts w:hint="cs"/>
          <w:rtl/>
        </w:rPr>
        <w:t>הצעת חוק פרטית של חבר הכנסת אילן גילאון (פ/2633/20) וחברי כנסת נוספים בנושא זה, שעניינה הצמדת קצבאות הנכות לשכר המינימום, אמנם אושרה בכנסת בקריאה מוקדמת ביום ז</w:t>
      </w:r>
      <w:r w:rsidR="001409B2">
        <w:rPr>
          <w:rFonts w:hint="cs"/>
          <w:rtl/>
        </w:rPr>
        <w:t>'</w:t>
      </w:r>
      <w:r w:rsidRPr="00EF5954">
        <w:rPr>
          <w:rFonts w:hint="cs"/>
          <w:rtl/>
        </w:rPr>
        <w:t xml:space="preserve"> בכסלו התשע"ז (7 בדצמבר 2016), אך לא קודמה מעבר לכך עקב התנגדות הממשלה. אף על פי כן, בחודשים האחרונים התקיימו מגעים אינטנסיביים בין גורמי הממשלה, חברי כנסת, נציגי ציבור הנכים ונציגי ההסתדרות, במטרה להגיע לפתרון מוסכם.</w:t>
      </w:r>
    </w:p>
    <w:p w14:paraId="0C372784" w14:textId="5644AB0E" w:rsidR="007267F6" w:rsidRPr="00EF5954" w:rsidRDefault="007267F6" w:rsidP="007267F6">
      <w:pPr>
        <w:pStyle w:val="Hesber"/>
        <w:rPr>
          <w:rtl/>
        </w:rPr>
      </w:pPr>
      <w:r w:rsidRPr="00EF5954">
        <w:rPr>
          <w:rFonts w:hint="cs"/>
          <w:rtl/>
        </w:rPr>
        <w:t xml:space="preserve">תהליך זה הגיע לשיא כאשר נציגים מכל סיעות הכנסת הודיעו על מתווה מוסכם למשבר הנכים שהוצג במסיבת עיתונאים מיוחדת שנערכה ביום כ"ח בסיוון התשע"ז (22 ביוני 2016). בהמשך לכך, נערכו ביום ט בתשרי התשע"ח (29 בספטמבר 2017) דיונים </w:t>
      </w:r>
      <w:r w:rsidR="001409B2">
        <w:rPr>
          <w:rFonts w:hint="cs"/>
          <w:rtl/>
        </w:rPr>
        <w:t>מרתוניים בהשתתפות שר האוצר, יושב ראש</w:t>
      </w:r>
      <w:r w:rsidRPr="00EF5954">
        <w:rPr>
          <w:rFonts w:hint="cs"/>
          <w:rtl/>
        </w:rPr>
        <w:t xml:space="preserve"> הקואליציה ויו</w:t>
      </w:r>
      <w:r w:rsidR="001409B2">
        <w:rPr>
          <w:rFonts w:hint="cs"/>
          <w:rtl/>
        </w:rPr>
        <w:t>שב ראש</w:t>
      </w:r>
      <w:r w:rsidRPr="00EF5954">
        <w:rPr>
          <w:rFonts w:hint="cs"/>
          <w:rtl/>
        </w:rPr>
        <w:t xml:space="preserve"> ההסתדרות, שבסופם גובש מתווה מפורט שפורסם לציבור.</w:t>
      </w:r>
    </w:p>
    <w:p w14:paraId="3AF3B1BE" w14:textId="77777777" w:rsidR="007267F6" w:rsidRPr="00EF5954" w:rsidRDefault="007267F6" w:rsidP="007267F6">
      <w:pPr>
        <w:pStyle w:val="Hesber"/>
        <w:rPr>
          <w:rtl/>
        </w:rPr>
      </w:pPr>
      <w:r w:rsidRPr="00EF5954">
        <w:rPr>
          <w:rFonts w:hint="cs"/>
          <w:rtl/>
        </w:rPr>
        <w:t>מן הראוי שמתווה זה, הנוגע בסוגיות סבוכות של תקציב וזכויות סוציאליות, יובא כהצעת חוק ממשלתית. ואולם, נוכח העובדה שממשלת ישראל מתמהמהת ולא עשתה זאת עד כה, ומאחר שתאריך היעד לביצוע הפעימה הראשונה להגדלת קצבאות הנכות הולך ומתקרב (1 בינואר 2018), נדרשת מעורבותה הדחופה של הכנסת.</w:t>
      </w:r>
    </w:p>
    <w:p w14:paraId="31F6A81B" w14:textId="47107CFA" w:rsidR="007267F6" w:rsidRDefault="007267F6" w:rsidP="001409B2">
      <w:pPr>
        <w:pStyle w:val="Hesber"/>
        <w:rPr>
          <w:rtl/>
        </w:rPr>
      </w:pPr>
      <w:r w:rsidRPr="00EF5954">
        <w:rPr>
          <w:rFonts w:hint="cs"/>
          <w:rtl/>
        </w:rPr>
        <w:t xml:space="preserve"> הצעת חוק זו </w:t>
      </w:r>
      <w:r w:rsidR="001409B2">
        <w:rPr>
          <w:rFonts w:hint="cs"/>
          <w:rtl/>
        </w:rPr>
        <w:t>נועדה</w:t>
      </w:r>
      <w:r w:rsidRPr="00EF5954">
        <w:rPr>
          <w:rFonts w:hint="cs"/>
          <w:rtl/>
        </w:rPr>
        <w:t xml:space="preserve"> לחייב את ממשלת ישראל להביא לאישור הכנסת בהקדם תקנות שיעגנו את ההוראות בדבר הגדלת קצבאות הנכות, כך שייושמו כבר בתחילת שנת 2018, לקבוע את המסגרת הנדרשת להעלאת הקצבאות לרבות חובת הקצאת התקציב הכרוך בכך</w:t>
      </w:r>
      <w:r w:rsidR="00853554">
        <w:rPr>
          <w:rFonts w:hint="cs"/>
          <w:rtl/>
        </w:rPr>
        <w:t>, וכן לעגן בחקיקה את ההמלצות בדבר העלאת ה</w:t>
      </w:r>
      <w:r w:rsidR="001409B2">
        <w:rPr>
          <w:rFonts w:hint="cs"/>
          <w:rtl/>
        </w:rPr>
        <w:t>סכום שאינו מובא בחשבון ("דיסריג</w:t>
      </w:r>
      <w:r w:rsidR="00853554">
        <w:rPr>
          <w:rFonts w:hint="cs"/>
          <w:rtl/>
        </w:rPr>
        <w:t>רד") לסך</w:t>
      </w:r>
      <w:r w:rsidR="001409B2">
        <w:rPr>
          <w:rFonts w:hint="cs"/>
          <w:rtl/>
        </w:rPr>
        <w:t xml:space="preserve"> של</w:t>
      </w:r>
      <w:r w:rsidR="00853554">
        <w:rPr>
          <w:rFonts w:hint="cs"/>
          <w:rtl/>
        </w:rPr>
        <w:t xml:space="preserve"> 4,300 </w:t>
      </w:r>
      <w:r w:rsidR="001409B2">
        <w:rPr>
          <w:rFonts w:hint="cs"/>
          <w:rtl/>
        </w:rPr>
        <w:t>שקלים חדשים</w:t>
      </w:r>
      <w:r w:rsidR="00853554">
        <w:rPr>
          <w:rFonts w:hint="cs"/>
          <w:rtl/>
        </w:rPr>
        <w:t xml:space="preserve"> והצמדת קצבאות הנכות לשכר הממוצע</w:t>
      </w:r>
      <w:r w:rsidRPr="00EF5954">
        <w:rPr>
          <w:rFonts w:hint="cs"/>
          <w:rtl/>
        </w:rPr>
        <w:t xml:space="preserve">. </w:t>
      </w:r>
    </w:p>
    <w:p w14:paraId="0BFEBFCB" w14:textId="77777777" w:rsidR="001409B2" w:rsidRDefault="001409B2" w:rsidP="001409B2">
      <w:pPr>
        <w:pStyle w:val="Hesber"/>
        <w:rPr>
          <w:rtl/>
        </w:rPr>
      </w:pPr>
      <w:bookmarkStart w:id="7" w:name="_GoBack"/>
      <w:bookmarkEnd w:id="7"/>
    </w:p>
    <w:p w14:paraId="6FF77993" w14:textId="77777777" w:rsidR="001409B2" w:rsidRDefault="001409B2" w:rsidP="001409B2">
      <w:pPr>
        <w:pStyle w:val="Hesber"/>
        <w:rPr>
          <w:rtl/>
        </w:rPr>
      </w:pPr>
      <w:r>
        <w:rPr>
          <w:rtl/>
        </w:rPr>
        <w:t>---------------------------------</w:t>
      </w:r>
    </w:p>
    <w:p w14:paraId="03FFE648" w14:textId="77777777" w:rsidR="001409B2" w:rsidRDefault="001409B2" w:rsidP="001409B2">
      <w:pPr>
        <w:pStyle w:val="Hesber"/>
        <w:rPr>
          <w:rtl/>
        </w:rPr>
      </w:pPr>
      <w:r>
        <w:rPr>
          <w:rtl/>
        </w:rPr>
        <w:t>הוגשה ליו"ר הכנסת והסגנים</w:t>
      </w:r>
    </w:p>
    <w:p w14:paraId="0B31FE99" w14:textId="77777777" w:rsidR="001409B2" w:rsidRDefault="001409B2" w:rsidP="001409B2">
      <w:pPr>
        <w:pStyle w:val="Hesber"/>
        <w:rPr>
          <w:rtl/>
        </w:rPr>
      </w:pPr>
      <w:r>
        <w:rPr>
          <w:rtl/>
        </w:rPr>
        <w:t>והונחה על שולחן הכנסת ביום</w:t>
      </w:r>
    </w:p>
    <w:p w14:paraId="4EBB58C8" w14:textId="1800EE07" w:rsidR="001409B2" w:rsidRPr="00EF5954" w:rsidRDefault="001409B2" w:rsidP="001409B2">
      <w:pPr>
        <w:pStyle w:val="Hesber"/>
        <w:rPr>
          <w:rtl/>
        </w:rPr>
      </w:pPr>
      <w:r>
        <w:rPr>
          <w:rtl/>
        </w:rPr>
        <w:t>י"ז בחשוון התשע"ח - 6.11.17</w:t>
      </w:r>
    </w:p>
    <w:p w14:paraId="4CB3C80D" w14:textId="77777777" w:rsidR="007267F6" w:rsidRPr="00F67051" w:rsidRDefault="007267F6" w:rsidP="007267F6">
      <w:pPr>
        <w:pStyle w:val="HeadHatzaotHok"/>
        <w:rPr>
          <w:rtl/>
        </w:rPr>
      </w:pPr>
    </w:p>
    <w:sectPr w:rsidR="007267F6" w:rsidRPr="00F67051" w:rsidSect="001409B2">
      <w:footerReference w:type="even" r:id="rId11"/>
      <w:footerReference w:type="default" r:id="rId12"/>
      <w:pgSz w:w="11907" w:h="16840" w:code="9"/>
      <w:pgMar w:top="851"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931F52">
      <w:rPr>
        <w:rStyle w:val="ab"/>
        <w:noProof/>
        <w:rtl/>
      </w:rPr>
      <w:t>3</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2F234274" w14:textId="77777777" w:rsidR="007267F6" w:rsidRDefault="007267F6" w:rsidP="007267F6">
      <w:pPr>
        <w:pStyle w:val="a4"/>
        <w:rPr>
          <w:rtl/>
        </w:rPr>
      </w:pPr>
      <w:r>
        <w:rPr>
          <w:rStyle w:val="a6"/>
        </w:rPr>
        <w:footnoteRef/>
      </w:r>
      <w:r>
        <w:rPr>
          <w:rtl/>
        </w:rPr>
        <w:t xml:space="preserve"> </w:t>
      </w:r>
      <w:r>
        <w:rPr>
          <w:rFonts w:hint="cs"/>
          <w:rtl/>
        </w:rPr>
        <w:t>ס"ח התשנ"ה, עמ' 210.</w:t>
      </w:r>
    </w:p>
  </w:footnote>
  <w:footnote w:id="3">
    <w:p w14:paraId="76B937B3" w14:textId="77777777" w:rsidR="007267F6" w:rsidRDefault="007267F6" w:rsidP="007267F6">
      <w:pPr>
        <w:pStyle w:val="a4"/>
        <w:rPr>
          <w:rtl/>
        </w:rPr>
      </w:pPr>
      <w:r>
        <w:rPr>
          <w:rStyle w:val="a6"/>
        </w:rPr>
        <w:footnoteRef/>
      </w:r>
      <w:r>
        <w:rPr>
          <w:rtl/>
        </w:rPr>
        <w:t xml:space="preserve"> </w:t>
      </w:r>
      <w:r>
        <w:rPr>
          <w:rFonts w:hint="cs"/>
          <w:rtl/>
        </w:rPr>
        <w:t>ס"ח התשנ"ה, עמ' 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50B06"/>
    <w:rsid w:val="00063A3E"/>
    <w:rsid w:val="00072CAC"/>
    <w:rsid w:val="0007681A"/>
    <w:rsid w:val="000A542E"/>
    <w:rsid w:val="00102B6B"/>
    <w:rsid w:val="001052D4"/>
    <w:rsid w:val="0010644B"/>
    <w:rsid w:val="001207F8"/>
    <w:rsid w:val="00121924"/>
    <w:rsid w:val="001279A8"/>
    <w:rsid w:val="001409B2"/>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267F6"/>
    <w:rsid w:val="00735FE9"/>
    <w:rsid w:val="00763CAA"/>
    <w:rsid w:val="00765F66"/>
    <w:rsid w:val="0078664F"/>
    <w:rsid w:val="007C3FA6"/>
    <w:rsid w:val="007D585A"/>
    <w:rsid w:val="007D5A12"/>
    <w:rsid w:val="007E5714"/>
    <w:rsid w:val="007E59F9"/>
    <w:rsid w:val="008003A0"/>
    <w:rsid w:val="00810BCD"/>
    <w:rsid w:val="00812C98"/>
    <w:rsid w:val="00814D92"/>
    <w:rsid w:val="0083181D"/>
    <w:rsid w:val="00843EB2"/>
    <w:rsid w:val="00853554"/>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31F52"/>
    <w:rsid w:val="00943386"/>
    <w:rsid w:val="009456B6"/>
    <w:rsid w:val="00957589"/>
    <w:rsid w:val="00966D06"/>
    <w:rsid w:val="00982412"/>
    <w:rsid w:val="00983A8D"/>
    <w:rsid w:val="009A0DB8"/>
    <w:rsid w:val="009A7257"/>
    <w:rsid w:val="009D6E0A"/>
    <w:rsid w:val="009E1E33"/>
    <w:rsid w:val="00A0582E"/>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57CCA"/>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7267F6"/>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974FB2CF-84C3-4D78-AAC1-1C87B37FD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B9FD34-B119-4301-B5BF-AD96A067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1001</Words>
  <Characters>5005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10</cp:revision>
  <cp:lastPrinted>2017-11-02T12:08:00Z</cp:lastPrinted>
  <dcterms:created xsi:type="dcterms:W3CDTF">2015-04-20T09:58:00Z</dcterms:created>
  <dcterms:modified xsi:type="dcterms:W3CDTF">2017-11-02T12:12:00Z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2022433</vt:r8>
  </property>
</Properties>
</file>