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2016603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A" w14:textId="7B6B1120" w:rsidR="00E13C27" w:rsidRPr="00CF1AA2" w:rsidRDefault="008F6665" w:rsidP="00372678">
      <w:pPr>
        <w:pStyle w:val="David"/>
        <w:spacing w:line="360" w:lineRule="auto"/>
        <w:ind w:left="3544"/>
        <w:rPr>
          <w:b/>
          <w:bCs/>
          <w:sz w:val="16"/>
          <w:szCs w:val="16"/>
          <w:rtl/>
        </w:rPr>
      </w:pPr>
      <w:bookmarkStart w:id="2" w:name="LGS_Initiators_List"/>
      <w:r>
        <w:rPr>
          <w:b/>
          <w:bCs/>
          <w:rtl/>
        </w:rPr>
        <w:t>יוזמות:      חברות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עאידה תומא סלימאן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רחל עזריה</w:t>
      </w:r>
      <w:bookmarkStart w:id="4" w:name="LGS_Join_List"/>
      <w:bookmarkEnd w:id="3"/>
      <w:r w:rsidR="007D585A"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 w:rsidR="007D585A"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256138AA" w:rsidR="00E13C27" w:rsidRPr="00E06736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6" w:name="Private_Number"/>
      <w:r>
        <w:rPr>
          <w:rFonts w:hint="cs"/>
          <w:rtl/>
        </w:rPr>
        <w:t>פ/4655/20</w:t>
      </w:r>
      <w:bookmarkEnd w:id="6"/>
    </w:p>
    <w:p w14:paraId="7F6961AC" w14:textId="77777777" w:rsidR="00E13C27" w:rsidRDefault="00E13C27" w:rsidP="00E13C27">
      <w:pPr>
        <w:spacing w:before="0" w:line="360" w:lineRule="auto"/>
        <w:ind w:left="2880" w:firstLine="720"/>
        <w:rPr>
          <w:rFonts w:cs="David"/>
          <w:sz w:val="26"/>
          <w:szCs w:val="26"/>
          <w:rtl/>
        </w:rPr>
      </w:pPr>
    </w:p>
    <w:p w14:paraId="7F6961AE" w14:textId="75C1EC66" w:rsidR="00E13C27" w:rsidRDefault="00A443CF" w:rsidP="00372678">
      <w:pPr>
        <w:pStyle w:val="HeadHatzaotHok"/>
        <w:spacing w:line="240" w:lineRule="auto"/>
        <w:rPr>
          <w:rtl/>
        </w:rPr>
      </w:pPr>
      <w:bookmarkStart w:id="7" w:name="LGS_Subject"/>
      <w:r>
        <w:rPr>
          <w:rFonts w:hint="cs"/>
          <w:rtl/>
        </w:rPr>
        <w:t xml:space="preserve">הצעת חוק רישוי עסקים (תיקון </w:t>
      </w:r>
      <w:r w:rsidR="00454281">
        <w:rPr>
          <w:rFonts w:hint="eastAsia"/>
          <w:rtl/>
        </w:rPr>
        <w:t>–</w:t>
      </w:r>
      <w:r>
        <w:rPr>
          <w:rFonts w:hint="cs"/>
          <w:rtl/>
        </w:rPr>
        <w:t xml:space="preserve"> חובת הספקת אמצעים לגילוי סם מסוכן), התשע"ח</w:t>
      </w:r>
      <w:r w:rsidR="00454281">
        <w:rPr>
          <w:rFonts w:hint="eastAsia"/>
          <w:rtl/>
        </w:rPr>
        <w:t>–</w:t>
      </w:r>
      <w:r>
        <w:rPr>
          <w:rFonts w:hint="cs"/>
          <w:rtl/>
        </w:rPr>
        <w:t>2017</w:t>
      </w:r>
      <w:bookmarkEnd w:id="7"/>
    </w:p>
    <w:p w14:paraId="6E4E49EC" w14:textId="77777777" w:rsidR="00372678" w:rsidRDefault="00372678" w:rsidP="00372678">
      <w:pPr>
        <w:pStyle w:val="HeadHatzaotHok"/>
        <w:spacing w:line="240" w:lineRule="auto"/>
        <w:rPr>
          <w:rtl/>
        </w:rPr>
      </w:pPr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624"/>
        <w:gridCol w:w="6522"/>
      </w:tblGrid>
      <w:tr w:rsidR="002F1D80" w14:paraId="035EEF3D" w14:textId="77777777" w:rsidTr="002C3041">
        <w:trPr>
          <w:cantSplit/>
          <w:trHeight w:val="60"/>
        </w:trPr>
        <w:tc>
          <w:tcPr>
            <w:tcW w:w="1871" w:type="dxa"/>
          </w:tcPr>
          <w:p w14:paraId="3863FF98" w14:textId="093E92DE" w:rsidR="002F1D80" w:rsidRDefault="00C15006" w:rsidP="003879BE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תיקון סעיף 2</w:t>
            </w:r>
          </w:p>
        </w:tc>
        <w:tc>
          <w:tcPr>
            <w:tcW w:w="624" w:type="dxa"/>
          </w:tcPr>
          <w:p w14:paraId="6F513EF6" w14:textId="45DEF16F" w:rsidR="002F1D80" w:rsidRPr="00C15006" w:rsidRDefault="00C15006" w:rsidP="002C3041">
            <w:pPr>
              <w:pStyle w:val="TableText"/>
              <w:keepLines w:val="0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6" w:type="dxa"/>
            <w:gridSpan w:val="2"/>
          </w:tcPr>
          <w:p w14:paraId="1AE94DEB" w14:textId="43EBAE6B" w:rsidR="002F1D80" w:rsidRPr="00C34DE2" w:rsidRDefault="00C15006" w:rsidP="003879BE">
            <w:pPr>
              <w:pStyle w:val="TableHead"/>
              <w:keepLines w:val="0"/>
              <w:jc w:val="left"/>
            </w:pPr>
            <w:r w:rsidRPr="00BE1E83">
              <w:rPr>
                <w:rFonts w:hint="cs"/>
                <w:b w:val="0"/>
                <w:bCs w:val="0"/>
                <w:rtl/>
              </w:rPr>
              <w:t>בחוק רישוי עסקים, התשכ"ח</w:t>
            </w:r>
            <w:r w:rsidR="00221EA8">
              <w:rPr>
                <w:rFonts w:hint="eastAsia"/>
                <w:b w:val="0"/>
                <w:bCs w:val="0"/>
                <w:rtl/>
              </w:rPr>
              <w:t>–</w:t>
            </w:r>
            <w:r w:rsidRPr="00BE1E83">
              <w:rPr>
                <w:rFonts w:hint="cs"/>
                <w:b w:val="0"/>
                <w:bCs w:val="0"/>
                <w:rtl/>
              </w:rPr>
              <w:t>1968</w:t>
            </w:r>
            <w:r w:rsidRPr="00BE1E83">
              <w:rPr>
                <w:rStyle w:val="a5"/>
                <w:b w:val="0"/>
                <w:bCs w:val="0"/>
                <w:rtl/>
              </w:rPr>
              <w:footnoteReference w:id="2"/>
            </w:r>
            <w:r w:rsidRPr="00BE1E83">
              <w:rPr>
                <w:rFonts w:hint="cs"/>
                <w:b w:val="0"/>
                <w:bCs w:val="0"/>
                <w:rtl/>
              </w:rPr>
              <w:t xml:space="preserve"> (להלן</w:t>
            </w:r>
            <w:r w:rsidR="00221EA8">
              <w:rPr>
                <w:rFonts w:hint="cs"/>
                <w:b w:val="0"/>
                <w:bCs w:val="0"/>
                <w:rtl/>
              </w:rPr>
              <w:t xml:space="preserve"> </w:t>
            </w:r>
            <w:r w:rsidR="00221EA8">
              <w:rPr>
                <w:rFonts w:hint="eastAsia"/>
                <w:b w:val="0"/>
                <w:bCs w:val="0"/>
                <w:rtl/>
              </w:rPr>
              <w:t>–</w:t>
            </w:r>
            <w:r w:rsidRPr="00BE1E83">
              <w:rPr>
                <w:rFonts w:hint="cs"/>
                <w:b w:val="0"/>
                <w:bCs w:val="0"/>
                <w:rtl/>
              </w:rPr>
              <w:t xml:space="preserve"> החוק העיקרי), בסעיף 2</w:t>
            </w:r>
            <w:r w:rsidR="00970A20">
              <w:rPr>
                <w:rFonts w:hint="cs"/>
                <w:b w:val="0"/>
                <w:bCs w:val="0"/>
                <w:rtl/>
              </w:rPr>
              <w:t xml:space="preserve"> </w:t>
            </w:r>
            <w:r w:rsidR="00221EA8">
              <w:rPr>
                <w:rFonts w:hint="eastAsia"/>
                <w:b w:val="0"/>
                <w:bCs w:val="0"/>
                <w:rtl/>
              </w:rPr>
              <w:t>–</w:t>
            </w:r>
            <w:r w:rsidR="00221EA8" w:rsidRPr="00BE1E83">
              <w:rPr>
                <w:rFonts w:hint="cs"/>
                <w:b w:val="0"/>
                <w:bCs w:val="0"/>
                <w:rtl/>
              </w:rPr>
              <w:t xml:space="preserve"> </w:t>
            </w:r>
          </w:p>
        </w:tc>
      </w:tr>
      <w:tr w:rsidR="00221EA8" w14:paraId="1405F9C7" w14:textId="77777777" w:rsidTr="002C3041">
        <w:trPr>
          <w:cantSplit/>
          <w:trHeight w:val="60"/>
        </w:trPr>
        <w:tc>
          <w:tcPr>
            <w:tcW w:w="1871" w:type="dxa"/>
          </w:tcPr>
          <w:p w14:paraId="79BAAF9F" w14:textId="77777777" w:rsidR="00221EA8" w:rsidRDefault="00221EA8" w:rsidP="00221EA8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09F0591B" w14:textId="77777777" w:rsidR="00221EA8" w:rsidRDefault="00221EA8" w:rsidP="002C3041">
            <w:pPr>
              <w:pStyle w:val="TableText"/>
              <w:keepLines w:val="0"/>
              <w:rPr>
                <w:rtl/>
              </w:rPr>
            </w:pPr>
          </w:p>
        </w:tc>
        <w:tc>
          <w:tcPr>
            <w:tcW w:w="7146" w:type="dxa"/>
            <w:gridSpan w:val="2"/>
          </w:tcPr>
          <w:p w14:paraId="64971B7A" w14:textId="3BA74F3E" w:rsidR="00221EA8" w:rsidRPr="003879BE" w:rsidRDefault="00221EA8" w:rsidP="003879BE">
            <w:pPr>
              <w:pStyle w:val="TableHead"/>
              <w:keepLines w:val="0"/>
              <w:jc w:val="left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(1)</w:t>
            </w:r>
            <w:r>
              <w:rPr>
                <w:b w:val="0"/>
                <w:bCs w:val="0"/>
                <w:rtl/>
              </w:rPr>
              <w:tab/>
            </w:r>
            <w:r>
              <w:rPr>
                <w:rFonts w:hint="cs"/>
                <w:b w:val="0"/>
                <w:bCs w:val="0"/>
                <w:rtl/>
              </w:rPr>
              <w:t>אחרי סעיף קטן (א1) יבוא:</w:t>
            </w:r>
          </w:p>
        </w:tc>
      </w:tr>
      <w:tr w:rsidR="007969D8" w14:paraId="78539DC4" w14:textId="77777777">
        <w:trPr>
          <w:cantSplit/>
          <w:trHeight w:val="60"/>
        </w:trPr>
        <w:tc>
          <w:tcPr>
            <w:tcW w:w="1871" w:type="dxa"/>
          </w:tcPr>
          <w:p w14:paraId="183A41EA" w14:textId="7E2D69EB" w:rsidR="007969D8" w:rsidRDefault="007969D8">
            <w:pPr>
              <w:pStyle w:val="TableSideHeading"/>
            </w:pPr>
          </w:p>
        </w:tc>
        <w:tc>
          <w:tcPr>
            <w:tcW w:w="624" w:type="dxa"/>
          </w:tcPr>
          <w:p w14:paraId="0DFF6575" w14:textId="77777777" w:rsidR="007969D8" w:rsidRDefault="007969D8">
            <w:pPr>
              <w:pStyle w:val="TableText"/>
            </w:pPr>
          </w:p>
        </w:tc>
        <w:tc>
          <w:tcPr>
            <w:tcW w:w="624" w:type="dxa"/>
          </w:tcPr>
          <w:p w14:paraId="19E3FCDE" w14:textId="77777777" w:rsidR="007969D8" w:rsidRDefault="007969D8">
            <w:pPr>
              <w:pStyle w:val="TableText"/>
            </w:pPr>
          </w:p>
        </w:tc>
        <w:tc>
          <w:tcPr>
            <w:tcW w:w="6522" w:type="dxa"/>
          </w:tcPr>
          <w:p w14:paraId="5A688F70" w14:textId="365C65BA" w:rsidR="007969D8" w:rsidRPr="003879BE" w:rsidRDefault="007969D8" w:rsidP="00970A20">
            <w:pPr>
              <w:pStyle w:val="TableBlock"/>
            </w:pPr>
            <w:r w:rsidRPr="004810DF">
              <w:rPr>
                <w:rFonts w:hint="cs"/>
                <w:rtl/>
              </w:rPr>
              <w:t>"(א2)</w:t>
            </w:r>
            <w:r w:rsidRPr="004810DF">
              <w:rPr>
                <w:rtl/>
              </w:rPr>
              <w:tab/>
            </w:r>
            <w:r w:rsidRPr="004810DF">
              <w:rPr>
                <w:rFonts w:hint="cs"/>
                <w:rtl/>
              </w:rPr>
              <w:t>בעסק כאמור בסעיף קטן (א), לא ימכור אדם, לא יגיש ולא יספק משקה משכר אלא אם</w:t>
            </w:r>
            <w:r w:rsidR="00970A20">
              <w:rPr>
                <w:rFonts w:hint="cs"/>
                <w:rtl/>
              </w:rPr>
              <w:t xml:space="preserve"> כן</w:t>
            </w:r>
            <w:r w:rsidRPr="004810DF">
              <w:rPr>
                <w:rFonts w:hint="cs"/>
                <w:rtl/>
              </w:rPr>
              <w:t xml:space="preserve"> יוחזקו</w:t>
            </w:r>
            <w:r w:rsidR="00970A20">
              <w:rPr>
                <w:rFonts w:hint="cs"/>
                <w:rtl/>
              </w:rPr>
              <w:t xml:space="preserve"> בעסק</w:t>
            </w:r>
            <w:r w:rsidRPr="004810DF">
              <w:rPr>
                <w:rFonts w:hint="cs"/>
                <w:rtl/>
              </w:rPr>
              <w:t xml:space="preserve"> אמצעים שמטרתם מתן הערכה סבירה על ה</w:t>
            </w:r>
            <w:r w:rsidR="00970A20">
              <w:rPr>
                <w:rFonts w:hint="cs"/>
                <w:rtl/>
              </w:rPr>
              <w:t>י</w:t>
            </w:r>
            <w:r w:rsidRPr="004810DF">
              <w:rPr>
                <w:rFonts w:hint="cs"/>
                <w:rtl/>
              </w:rPr>
              <w:t xml:space="preserve">מצאות </w:t>
            </w:r>
            <w:r w:rsidR="003879BE" w:rsidRPr="004810DF">
              <w:rPr>
                <w:rFonts w:hint="cs"/>
                <w:rtl/>
              </w:rPr>
              <w:t>סם</w:t>
            </w:r>
            <w:r w:rsidRPr="004810DF">
              <w:rPr>
                <w:rFonts w:hint="cs"/>
                <w:rtl/>
              </w:rPr>
              <w:t xml:space="preserve"> מסוכן במשקה הנמכר או המוגש באותו עסק</w:t>
            </w:r>
            <w:r w:rsidR="003879BE" w:rsidRPr="004810DF">
              <w:rPr>
                <w:rFonts w:hint="cs"/>
                <w:rtl/>
              </w:rPr>
              <w:t xml:space="preserve">; לעניין זה, "סם מסוכן" </w:t>
            </w:r>
            <w:r w:rsidR="003879BE" w:rsidRPr="004810DF">
              <w:rPr>
                <w:rFonts w:hint="eastAsia"/>
                <w:rtl/>
              </w:rPr>
              <w:t>–</w:t>
            </w:r>
            <w:r w:rsidR="003879BE" w:rsidRPr="004810DF">
              <w:rPr>
                <w:rFonts w:hint="cs"/>
                <w:rtl/>
              </w:rPr>
              <w:t xml:space="preserve"> </w:t>
            </w:r>
            <w:r w:rsidR="003879BE" w:rsidRPr="004810DF">
              <w:rPr>
                <w:rFonts w:ascii="FrankRuehl" w:hAnsi="FrankRuehl"/>
                <w:sz w:val="26"/>
                <w:rtl/>
              </w:rPr>
              <w:t>כהגדרתו בפקודת הסמים המסוכנים [נוסח חדש], התשל"ג</w:t>
            </w:r>
            <w:r w:rsidR="003879BE" w:rsidRPr="004810DF">
              <w:rPr>
                <w:rFonts w:ascii="FrankRuehl" w:hAnsi="FrankRuehl" w:hint="cs"/>
                <w:sz w:val="26"/>
                <w:rtl/>
              </w:rPr>
              <w:t>–</w:t>
            </w:r>
            <w:r w:rsidR="003879BE" w:rsidRPr="004810DF">
              <w:rPr>
                <w:rFonts w:ascii="FrankRuehl" w:hAnsi="FrankRuehl"/>
                <w:sz w:val="26"/>
                <w:rtl/>
              </w:rPr>
              <w:t>1973</w:t>
            </w:r>
            <w:r w:rsidR="00BE3321" w:rsidRPr="004810DF">
              <w:rPr>
                <w:rStyle w:val="a5"/>
                <w:rFonts w:ascii="FrankRuehl" w:hAnsi="FrankRuehl"/>
                <w:sz w:val="26"/>
                <w:rtl/>
              </w:rPr>
              <w:footnoteReference w:id="3"/>
            </w:r>
            <w:r w:rsidR="00970A20">
              <w:rPr>
                <w:rFonts w:ascii="FrankRuehl" w:hAnsi="FrankRuehl" w:hint="cs"/>
                <w:sz w:val="26"/>
                <w:rtl/>
              </w:rPr>
              <w:t>.</w:t>
            </w:r>
          </w:p>
        </w:tc>
      </w:tr>
      <w:tr w:rsidR="00221EA8" w14:paraId="45DEFEF3" w14:textId="77777777" w:rsidTr="002C3041">
        <w:trPr>
          <w:cantSplit/>
          <w:trHeight w:val="60"/>
        </w:trPr>
        <w:tc>
          <w:tcPr>
            <w:tcW w:w="1871" w:type="dxa"/>
          </w:tcPr>
          <w:p w14:paraId="539949D2" w14:textId="77777777" w:rsidR="00221EA8" w:rsidRDefault="00221EA8" w:rsidP="00221EA8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3AB1E777" w14:textId="77777777" w:rsidR="00221EA8" w:rsidRDefault="00221EA8" w:rsidP="002C3041">
            <w:pPr>
              <w:pStyle w:val="TableText"/>
              <w:keepLines w:val="0"/>
              <w:rPr>
                <w:rtl/>
              </w:rPr>
            </w:pPr>
          </w:p>
        </w:tc>
        <w:tc>
          <w:tcPr>
            <w:tcW w:w="7146" w:type="dxa"/>
            <w:gridSpan w:val="2"/>
          </w:tcPr>
          <w:p w14:paraId="56098277" w14:textId="3402DF73" w:rsidR="00221EA8" w:rsidRDefault="008F79EF" w:rsidP="003879BE">
            <w:pPr>
              <w:pStyle w:val="TableBlock"/>
              <w:rPr>
                <w:rtl/>
              </w:rPr>
            </w:pPr>
            <w:r>
              <w:rPr>
                <w:rFonts w:hint="cs"/>
                <w:sz w:val="26"/>
                <w:rtl/>
              </w:rPr>
              <w:t>(2)</w:t>
            </w:r>
            <w:r>
              <w:rPr>
                <w:sz w:val="26"/>
                <w:rtl/>
              </w:rPr>
              <w:tab/>
            </w:r>
            <w:r w:rsidR="007969D8" w:rsidRPr="000B59CB">
              <w:rPr>
                <w:rFonts w:hint="cs"/>
                <w:sz w:val="26"/>
                <w:rtl/>
              </w:rPr>
              <w:t>בסעיף קטן (ד)</w:t>
            </w:r>
            <w:r w:rsidR="007969D8">
              <w:rPr>
                <w:rFonts w:hint="cs"/>
                <w:sz w:val="26"/>
                <w:rtl/>
              </w:rPr>
              <w:t>,</w:t>
            </w:r>
            <w:r w:rsidR="007969D8" w:rsidRPr="000B59CB">
              <w:rPr>
                <w:rFonts w:hint="cs"/>
                <w:sz w:val="26"/>
                <w:rtl/>
              </w:rPr>
              <w:t xml:space="preserve"> במקום "(א1) ו-(ג)" יבוא "(א1),</w:t>
            </w:r>
            <w:r w:rsidR="007969D8">
              <w:rPr>
                <w:rFonts w:hint="cs"/>
                <w:sz w:val="26"/>
                <w:rtl/>
              </w:rPr>
              <w:t xml:space="preserve"> (א2) ו-</w:t>
            </w:r>
            <w:r w:rsidR="007969D8" w:rsidRPr="000B59CB">
              <w:rPr>
                <w:rFonts w:hint="cs"/>
                <w:sz w:val="26"/>
                <w:rtl/>
              </w:rPr>
              <w:t>(ג)</w:t>
            </w:r>
            <w:r w:rsidR="007969D8">
              <w:rPr>
                <w:rFonts w:hint="cs"/>
                <w:sz w:val="26"/>
                <w:rtl/>
              </w:rPr>
              <w:t>"</w:t>
            </w:r>
            <w:r w:rsidR="009C7992">
              <w:rPr>
                <w:rFonts w:hint="cs"/>
                <w:rtl/>
              </w:rPr>
              <w:t>.</w:t>
            </w:r>
          </w:p>
        </w:tc>
      </w:tr>
      <w:tr w:rsidR="009C7992" w14:paraId="54FE633D" w14:textId="77777777" w:rsidTr="002C3041">
        <w:trPr>
          <w:cantSplit/>
          <w:trHeight w:val="60"/>
        </w:trPr>
        <w:tc>
          <w:tcPr>
            <w:tcW w:w="1871" w:type="dxa"/>
          </w:tcPr>
          <w:p w14:paraId="250B2F24" w14:textId="5E7C21CC" w:rsidR="009C7992" w:rsidRDefault="009C7992" w:rsidP="00221EA8">
            <w:pPr>
              <w:pStyle w:val="TableSideHeading"/>
              <w:keepLines w:val="0"/>
              <w:rPr>
                <w:rtl/>
              </w:rPr>
            </w:pPr>
            <w:r>
              <w:rPr>
                <w:rFonts w:hint="cs"/>
                <w:rtl/>
              </w:rPr>
              <w:t>תקנות ראשונות</w:t>
            </w:r>
          </w:p>
        </w:tc>
        <w:tc>
          <w:tcPr>
            <w:tcW w:w="624" w:type="dxa"/>
          </w:tcPr>
          <w:p w14:paraId="391C470E" w14:textId="5B2978D5" w:rsidR="009C7992" w:rsidRDefault="009C7992" w:rsidP="003879BE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7146" w:type="dxa"/>
            <w:gridSpan w:val="2"/>
          </w:tcPr>
          <w:p w14:paraId="0CDEA8CC" w14:textId="57C36CAE" w:rsidR="009C7992" w:rsidRDefault="00334A0B" w:rsidP="00970A20">
            <w:pPr>
              <w:pStyle w:val="TableBlock"/>
              <w:rPr>
                <w:sz w:val="26"/>
                <w:rtl/>
              </w:rPr>
            </w:pPr>
            <w:r w:rsidRPr="000B59CB">
              <w:rPr>
                <w:rFonts w:hint="cs"/>
                <w:sz w:val="26"/>
                <w:rtl/>
              </w:rPr>
              <w:t>תקנות ראשונות לפי סעיף 2(</w:t>
            </w:r>
            <w:r>
              <w:rPr>
                <w:rFonts w:hint="cs"/>
                <w:sz w:val="26"/>
                <w:rtl/>
              </w:rPr>
              <w:t>א2</w:t>
            </w:r>
            <w:r w:rsidRPr="000B59CB">
              <w:rPr>
                <w:rFonts w:hint="cs"/>
                <w:sz w:val="26"/>
                <w:rtl/>
              </w:rPr>
              <w:t xml:space="preserve">) </w:t>
            </w:r>
            <w:r>
              <w:rPr>
                <w:rFonts w:hint="cs"/>
                <w:sz w:val="26"/>
                <w:rtl/>
              </w:rPr>
              <w:t xml:space="preserve">לחוק העיקרי, כנוסחו בסעיף 1 לחוק זה, </w:t>
            </w:r>
            <w:r w:rsidRPr="000B59CB">
              <w:rPr>
                <w:rFonts w:hint="cs"/>
                <w:sz w:val="26"/>
                <w:rtl/>
              </w:rPr>
              <w:t xml:space="preserve">יותקנו בתוך </w:t>
            </w:r>
            <w:r w:rsidR="00970A20">
              <w:rPr>
                <w:rFonts w:hint="cs"/>
                <w:sz w:val="26"/>
                <w:rtl/>
              </w:rPr>
              <w:t>שישה</w:t>
            </w:r>
            <w:r w:rsidRPr="000B59CB">
              <w:rPr>
                <w:rFonts w:hint="cs"/>
                <w:sz w:val="26"/>
                <w:rtl/>
              </w:rPr>
              <w:t xml:space="preserve"> חודשים מיום פרסומו של חוק זה.</w:t>
            </w:r>
          </w:p>
        </w:tc>
      </w:tr>
    </w:tbl>
    <w:p w14:paraId="7F6961CA" w14:textId="5028504F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7F6961CB" w14:textId="09B22AF7" w:rsidR="00E13C27" w:rsidRDefault="007203EC" w:rsidP="00372678">
      <w:pPr>
        <w:pStyle w:val="Hesber"/>
        <w:spacing w:line="240" w:lineRule="auto"/>
        <w:rPr>
          <w:rtl/>
        </w:rPr>
      </w:pPr>
      <w:r>
        <w:rPr>
          <w:rFonts w:hint="cs"/>
          <w:rtl/>
        </w:rPr>
        <w:t xml:space="preserve">בשנים האחרונות הולכת וגוברת תופעת אינוס נשים </w:t>
      </w:r>
      <w:r w:rsidR="003679B4">
        <w:rPr>
          <w:rFonts w:hint="cs"/>
          <w:rtl/>
        </w:rPr>
        <w:t xml:space="preserve">אגב </w:t>
      </w:r>
      <w:r>
        <w:rPr>
          <w:rFonts w:hint="cs"/>
          <w:rtl/>
        </w:rPr>
        <w:t>שלילת כושר התנגדות</w:t>
      </w:r>
      <w:r w:rsidR="003679B4">
        <w:rPr>
          <w:rFonts w:hint="cs"/>
          <w:rtl/>
        </w:rPr>
        <w:t>ן</w:t>
      </w:r>
      <w:r>
        <w:rPr>
          <w:rFonts w:hint="cs"/>
          <w:rtl/>
        </w:rPr>
        <w:t>,</w:t>
      </w:r>
      <w:r w:rsidR="003679B4">
        <w:rPr>
          <w:rFonts w:hint="cs"/>
          <w:rtl/>
        </w:rPr>
        <w:t xml:space="preserve"> קרי,</w:t>
      </w:r>
      <w:r>
        <w:rPr>
          <w:rFonts w:hint="cs"/>
          <w:rtl/>
        </w:rPr>
        <w:t xml:space="preserve"> אינוס המבוצע </w:t>
      </w:r>
      <w:r w:rsidR="00F86869">
        <w:rPr>
          <w:rFonts w:hint="cs"/>
          <w:rtl/>
        </w:rPr>
        <w:t xml:space="preserve">לאחר </w:t>
      </w:r>
      <w:r w:rsidR="002925B0">
        <w:rPr>
          <w:rFonts w:hint="cs"/>
          <w:rtl/>
        </w:rPr>
        <w:t>החדר</w:t>
      </w:r>
      <w:r w:rsidR="00970A20">
        <w:rPr>
          <w:rFonts w:hint="cs"/>
          <w:rtl/>
        </w:rPr>
        <w:t>תו בחשאי של סם מסוכן בכלל ו-"סם האונס"</w:t>
      </w:r>
      <w:r w:rsidR="00F86869">
        <w:rPr>
          <w:rFonts w:hint="cs"/>
          <w:rtl/>
        </w:rPr>
        <w:t xml:space="preserve"> בפרט,</w:t>
      </w:r>
      <w:r w:rsidR="002925B0">
        <w:rPr>
          <w:rFonts w:hint="cs"/>
          <w:rtl/>
        </w:rPr>
        <w:t xml:space="preserve"> אל המשקה</w:t>
      </w:r>
      <w:r w:rsidR="00F86869">
        <w:rPr>
          <w:rFonts w:hint="cs"/>
          <w:rtl/>
        </w:rPr>
        <w:t xml:space="preserve"> של הקורבן הפוטנציאלי.</w:t>
      </w:r>
      <w:r w:rsidR="002925B0">
        <w:rPr>
          <w:rFonts w:hint="cs"/>
          <w:rtl/>
        </w:rPr>
        <w:t xml:space="preserve"> </w:t>
      </w:r>
      <w:r>
        <w:rPr>
          <w:rFonts w:hint="cs"/>
          <w:rtl/>
        </w:rPr>
        <w:t>לתופעה זו השלכות חמורות</w:t>
      </w:r>
      <w:r w:rsidR="00F86869">
        <w:rPr>
          <w:rFonts w:hint="cs"/>
          <w:rtl/>
        </w:rPr>
        <w:t>, קשות</w:t>
      </w:r>
      <w:r>
        <w:rPr>
          <w:rFonts w:hint="cs"/>
          <w:rtl/>
        </w:rPr>
        <w:t xml:space="preserve"> ובלתי הפיכ</w:t>
      </w:r>
      <w:r w:rsidR="00F86869">
        <w:rPr>
          <w:rFonts w:hint="cs"/>
          <w:rtl/>
        </w:rPr>
        <w:t>ות</w:t>
      </w:r>
      <w:r>
        <w:rPr>
          <w:rFonts w:hint="cs"/>
          <w:rtl/>
        </w:rPr>
        <w:t xml:space="preserve"> </w:t>
      </w:r>
      <w:r w:rsidR="00F86869">
        <w:rPr>
          <w:rFonts w:hint="cs"/>
          <w:rtl/>
        </w:rPr>
        <w:t>כלפי ה</w:t>
      </w:r>
      <w:r w:rsidR="002925B0">
        <w:rPr>
          <w:rFonts w:hint="cs"/>
          <w:rtl/>
        </w:rPr>
        <w:t>קורבנות</w:t>
      </w:r>
      <w:r>
        <w:rPr>
          <w:rFonts w:hint="cs"/>
          <w:rtl/>
        </w:rPr>
        <w:t xml:space="preserve">, </w:t>
      </w:r>
      <w:r w:rsidR="002925B0">
        <w:rPr>
          <w:rFonts w:hint="cs"/>
          <w:rtl/>
        </w:rPr>
        <w:t>הגם שקיים</w:t>
      </w:r>
      <w:r>
        <w:rPr>
          <w:rFonts w:hint="cs"/>
          <w:rtl/>
        </w:rPr>
        <w:t xml:space="preserve"> קושי ראייתי בהוכחת שימוש בסמים מסוכנים</w:t>
      </w:r>
      <w:r w:rsidR="002925B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2925B0">
        <w:rPr>
          <w:rFonts w:hint="cs"/>
          <w:rtl/>
        </w:rPr>
        <w:t xml:space="preserve">כך בפועל, </w:t>
      </w:r>
      <w:r w:rsidR="006137FB">
        <w:rPr>
          <w:rFonts w:hint="cs"/>
          <w:rtl/>
        </w:rPr>
        <w:t>ממשיכים ה</w:t>
      </w:r>
      <w:r>
        <w:rPr>
          <w:rFonts w:hint="cs"/>
          <w:rtl/>
        </w:rPr>
        <w:t xml:space="preserve">פושעים להסתובב </w:t>
      </w:r>
      <w:r w:rsidR="002925B0">
        <w:rPr>
          <w:rFonts w:hint="cs"/>
          <w:rtl/>
        </w:rPr>
        <w:t>באופן חופשי</w:t>
      </w:r>
      <w:r>
        <w:rPr>
          <w:rFonts w:hint="cs"/>
          <w:rtl/>
        </w:rPr>
        <w:t xml:space="preserve"> </w:t>
      </w:r>
      <w:r w:rsidR="006137FB">
        <w:rPr>
          <w:rFonts w:hint="cs"/>
          <w:rtl/>
        </w:rPr>
        <w:t xml:space="preserve">חרף </w:t>
      </w:r>
      <w:r>
        <w:rPr>
          <w:rFonts w:hint="cs"/>
          <w:rtl/>
        </w:rPr>
        <w:t>מעשיהם הנפשעים</w:t>
      </w:r>
      <w:r w:rsidR="002925B0">
        <w:rPr>
          <w:rFonts w:hint="cs"/>
          <w:rtl/>
        </w:rPr>
        <w:t xml:space="preserve"> ולמרות התוצאות הטרגיות</w:t>
      </w:r>
      <w:r>
        <w:rPr>
          <w:rFonts w:hint="cs"/>
          <w:rtl/>
        </w:rPr>
        <w:t>.</w:t>
      </w:r>
    </w:p>
    <w:p w14:paraId="687D7775" w14:textId="2B75D16D" w:rsidR="007203EC" w:rsidRDefault="002925B0" w:rsidP="00372678">
      <w:pPr>
        <w:pStyle w:val="Hesber"/>
        <w:spacing w:line="240" w:lineRule="auto"/>
        <w:rPr>
          <w:rtl/>
        </w:rPr>
      </w:pPr>
      <w:r>
        <w:rPr>
          <w:rFonts w:hint="cs"/>
          <w:rtl/>
        </w:rPr>
        <w:t xml:space="preserve">מטרתה של הצעת </w:t>
      </w:r>
      <w:r w:rsidR="009A648C">
        <w:rPr>
          <w:rFonts w:hint="cs"/>
          <w:rtl/>
        </w:rPr>
        <w:t>חוק זו</w:t>
      </w:r>
      <w:r>
        <w:rPr>
          <w:rFonts w:hint="cs"/>
          <w:rtl/>
        </w:rPr>
        <w:t xml:space="preserve"> היא לשים קץ לתופעה</w:t>
      </w:r>
      <w:r w:rsidR="00970A20">
        <w:rPr>
          <w:rFonts w:hint="cs"/>
          <w:rtl/>
        </w:rPr>
        <w:t xml:space="preserve">, </w:t>
      </w:r>
      <w:r>
        <w:rPr>
          <w:rFonts w:hint="cs"/>
          <w:rtl/>
        </w:rPr>
        <w:t xml:space="preserve">באמצעות חיוב </w:t>
      </w:r>
      <w:r w:rsidR="00B060C7">
        <w:rPr>
          <w:rFonts w:hint="cs"/>
          <w:rtl/>
        </w:rPr>
        <w:t xml:space="preserve">בעלי </w:t>
      </w:r>
      <w:r w:rsidR="007203EC">
        <w:rPr>
          <w:rFonts w:hint="cs"/>
          <w:rtl/>
        </w:rPr>
        <w:t>עסקים</w:t>
      </w:r>
      <w:r w:rsidR="00B060C7">
        <w:rPr>
          <w:rFonts w:hint="cs"/>
          <w:rtl/>
        </w:rPr>
        <w:t xml:space="preserve"> שבהם נמכרים או מוגשים משקאות משכרים</w:t>
      </w:r>
      <w:r w:rsidR="00970A20">
        <w:rPr>
          <w:rFonts w:hint="cs"/>
          <w:rtl/>
        </w:rPr>
        <w:t xml:space="preserve"> להחזיק ערכות לבדיקת סמים מסוכנים ב</w:t>
      </w:r>
      <w:r w:rsidR="007203EC">
        <w:rPr>
          <w:rFonts w:hint="cs"/>
          <w:rtl/>
        </w:rPr>
        <w:t>משקה האלכוהולי</w:t>
      </w:r>
      <w:r w:rsidR="00970A20">
        <w:rPr>
          <w:rFonts w:hint="cs"/>
          <w:rtl/>
        </w:rPr>
        <w:t>, תוך התניית רישיון עסק בהחזקת</w:t>
      </w:r>
      <w:r w:rsidR="007203EC">
        <w:rPr>
          <w:rFonts w:hint="cs"/>
          <w:rtl/>
        </w:rPr>
        <w:t xml:space="preserve"> </w:t>
      </w:r>
      <w:r w:rsidR="00970A20">
        <w:rPr>
          <w:rFonts w:hint="cs"/>
          <w:rtl/>
        </w:rPr>
        <w:t>ערכ</w:t>
      </w:r>
      <w:r w:rsidR="007203EC">
        <w:rPr>
          <w:rFonts w:hint="cs"/>
          <w:rtl/>
        </w:rPr>
        <w:t xml:space="preserve">ות </w:t>
      </w:r>
      <w:r w:rsidR="00B060C7">
        <w:rPr>
          <w:rFonts w:hint="cs"/>
          <w:rtl/>
        </w:rPr>
        <w:t>כאמור.</w:t>
      </w:r>
      <w:r w:rsidR="007203EC">
        <w:rPr>
          <w:rFonts w:hint="cs"/>
          <w:rtl/>
        </w:rPr>
        <w:t xml:space="preserve"> </w:t>
      </w:r>
      <w:r w:rsidR="00B060C7">
        <w:rPr>
          <w:rFonts w:hint="cs"/>
          <w:rtl/>
        </w:rPr>
        <w:t>מדובר ב</w:t>
      </w:r>
      <w:r w:rsidR="007203EC">
        <w:rPr>
          <w:rFonts w:hint="cs"/>
          <w:rtl/>
        </w:rPr>
        <w:t xml:space="preserve">צעד </w:t>
      </w:r>
      <w:r w:rsidR="00B060C7">
        <w:rPr>
          <w:rFonts w:hint="cs"/>
          <w:rtl/>
        </w:rPr>
        <w:t xml:space="preserve">אשר </w:t>
      </w:r>
      <w:r w:rsidR="00F86869">
        <w:rPr>
          <w:rFonts w:hint="cs"/>
          <w:rtl/>
        </w:rPr>
        <w:t xml:space="preserve">ינגיש </w:t>
      </w:r>
      <w:r w:rsidR="007203EC">
        <w:rPr>
          <w:rFonts w:hint="cs"/>
          <w:rtl/>
        </w:rPr>
        <w:t>לנשים את האפשרות לבדיקת המשקה המשכר ו</w:t>
      </w:r>
      <w:r w:rsidR="00970A20">
        <w:rPr>
          <w:rFonts w:hint="cs"/>
          <w:rtl/>
        </w:rPr>
        <w:t>יגדיל</w:t>
      </w:r>
      <w:r w:rsidR="00B060C7">
        <w:rPr>
          <w:rFonts w:hint="cs"/>
          <w:rtl/>
        </w:rPr>
        <w:t xml:space="preserve"> </w:t>
      </w:r>
      <w:r w:rsidR="00970A20">
        <w:rPr>
          <w:rFonts w:hint="cs"/>
          <w:rtl/>
        </w:rPr>
        <w:t xml:space="preserve">את </w:t>
      </w:r>
      <w:r w:rsidR="00B060C7">
        <w:rPr>
          <w:rFonts w:hint="cs"/>
          <w:rtl/>
        </w:rPr>
        <w:t>הסיכוי</w:t>
      </w:r>
      <w:r w:rsidR="00970A20">
        <w:rPr>
          <w:rFonts w:hint="cs"/>
          <w:rtl/>
        </w:rPr>
        <w:t xml:space="preserve"> שלה</w:t>
      </w:r>
      <w:r w:rsidR="00A12178">
        <w:rPr>
          <w:rFonts w:hint="cs"/>
          <w:rtl/>
        </w:rPr>
        <w:t>ן</w:t>
      </w:r>
      <w:r w:rsidR="00B060C7">
        <w:rPr>
          <w:rFonts w:hint="cs"/>
          <w:rtl/>
        </w:rPr>
        <w:t xml:space="preserve"> להימנע</w:t>
      </w:r>
      <w:r w:rsidR="00970A20">
        <w:rPr>
          <w:rFonts w:hint="cs"/>
          <w:rtl/>
        </w:rPr>
        <w:t xml:space="preserve"> מליפול</w:t>
      </w:r>
      <w:r w:rsidR="007203EC">
        <w:rPr>
          <w:rFonts w:hint="cs"/>
          <w:rtl/>
        </w:rPr>
        <w:t xml:space="preserve"> קורבן לתופעה </w:t>
      </w:r>
      <w:r w:rsidR="00B060C7">
        <w:rPr>
          <w:rFonts w:hint="cs"/>
          <w:rtl/>
        </w:rPr>
        <w:t>מזוויעה זו.</w:t>
      </w:r>
    </w:p>
    <w:p w14:paraId="24581549" w14:textId="68EABE51" w:rsidR="00F30B86" w:rsidRDefault="00F30B86" w:rsidP="00372678">
      <w:pPr>
        <w:pStyle w:val="Hesber"/>
        <w:spacing w:line="240" w:lineRule="auto"/>
        <w:rPr>
          <w:rtl/>
        </w:rPr>
      </w:pPr>
      <w:r>
        <w:rPr>
          <w:rtl/>
        </w:rPr>
        <w:t>הצע</w:t>
      </w:r>
      <w:r w:rsidR="00F86869">
        <w:rPr>
          <w:rtl/>
        </w:rPr>
        <w:t>ת חוק דומ</w:t>
      </w:r>
      <w:r w:rsidR="00F86869">
        <w:rPr>
          <w:rFonts w:hint="cs"/>
          <w:rtl/>
        </w:rPr>
        <w:t>ה</w:t>
      </w:r>
      <w:r w:rsidR="00F86869">
        <w:rPr>
          <w:rtl/>
        </w:rPr>
        <w:t xml:space="preserve"> בעיקר</w:t>
      </w:r>
      <w:r w:rsidR="00F86869">
        <w:rPr>
          <w:rFonts w:hint="cs"/>
          <w:rtl/>
        </w:rPr>
        <w:t>ה</w:t>
      </w:r>
      <w:r w:rsidR="00F86869">
        <w:rPr>
          <w:rtl/>
        </w:rPr>
        <w:t xml:space="preserve"> הונח</w:t>
      </w:r>
      <w:r w:rsidR="00F86869">
        <w:rPr>
          <w:rFonts w:hint="cs"/>
          <w:rtl/>
        </w:rPr>
        <w:t>ה</w:t>
      </w:r>
      <w:r w:rsidRPr="004B6C15">
        <w:rPr>
          <w:rtl/>
        </w:rPr>
        <w:t xml:space="preserve"> על שולחן הכנסת </w:t>
      </w:r>
      <w:r w:rsidR="00F86869">
        <w:rPr>
          <w:rFonts w:hint="cs"/>
          <w:rtl/>
        </w:rPr>
        <w:t>התשע-עשרה</w:t>
      </w:r>
      <w:r w:rsidRPr="004B6C15">
        <w:rPr>
          <w:rtl/>
        </w:rPr>
        <w:t xml:space="preserve"> על ידי חבר</w:t>
      </w:r>
      <w:r w:rsidR="00F86869">
        <w:rPr>
          <w:rFonts w:hint="cs"/>
          <w:rtl/>
        </w:rPr>
        <w:t>ת</w:t>
      </w:r>
      <w:r w:rsidRPr="004B6C15">
        <w:rPr>
          <w:rtl/>
        </w:rPr>
        <w:t xml:space="preserve"> הכנסת </w:t>
      </w:r>
      <w:r w:rsidR="00F86869">
        <w:rPr>
          <w:rFonts w:hint="cs"/>
          <w:rtl/>
        </w:rPr>
        <w:t xml:space="preserve">גילה גמליאל </w:t>
      </w:r>
      <w:r w:rsidRPr="004B6C15">
        <w:rPr>
          <w:rtl/>
        </w:rPr>
        <w:t>(</w:t>
      </w:r>
      <w:r w:rsidRPr="004B6C15">
        <w:rPr>
          <w:rFonts w:hint="eastAsia"/>
          <w:rtl/>
        </w:rPr>
        <w:t>פ</w:t>
      </w:r>
      <w:r w:rsidRPr="004B6C15">
        <w:rPr>
          <w:rtl/>
        </w:rPr>
        <w:t>/</w:t>
      </w:r>
      <w:r w:rsidR="00F86869">
        <w:rPr>
          <w:rFonts w:hint="cs"/>
          <w:rtl/>
        </w:rPr>
        <w:t>2763</w:t>
      </w:r>
      <w:r w:rsidRPr="004B6C15">
        <w:rPr>
          <w:rtl/>
        </w:rPr>
        <w:t>/1</w:t>
      </w:r>
      <w:r w:rsidR="00F86869">
        <w:rPr>
          <w:rFonts w:hint="cs"/>
          <w:rtl/>
        </w:rPr>
        <w:t>9</w:t>
      </w:r>
      <w:r w:rsidRPr="004B6C15">
        <w:rPr>
          <w:rtl/>
        </w:rPr>
        <w:t>)</w:t>
      </w:r>
      <w:r w:rsidR="00F86869">
        <w:rPr>
          <w:rFonts w:hint="cs"/>
          <w:rtl/>
        </w:rPr>
        <w:t>.</w:t>
      </w:r>
    </w:p>
    <w:p w14:paraId="03A49111" w14:textId="77777777" w:rsidR="00372678" w:rsidRPr="00D73212" w:rsidRDefault="00372678" w:rsidP="00372678">
      <w:pPr>
        <w:pStyle w:val="Hesber"/>
        <w:spacing w:line="240" w:lineRule="auto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5B5DF5A4" w14:textId="77777777" w:rsidR="00372678" w:rsidRPr="00D73212" w:rsidRDefault="00372678" w:rsidP="00372678">
      <w:pPr>
        <w:pStyle w:val="Hesber"/>
        <w:spacing w:line="240" w:lineRule="auto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3EA584D2" w14:textId="77777777" w:rsidR="00372678" w:rsidRPr="00D73212" w:rsidRDefault="00372678" w:rsidP="00372678">
      <w:pPr>
        <w:pStyle w:val="Hesber"/>
        <w:spacing w:line="240" w:lineRule="auto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39F6EA77" w14:textId="39714A66" w:rsidR="00372678" w:rsidRDefault="00372678" w:rsidP="00372678">
      <w:pPr>
        <w:pStyle w:val="Hesber"/>
        <w:spacing w:line="240" w:lineRule="auto"/>
        <w:rPr>
          <w:rtl/>
        </w:rPr>
      </w:pPr>
      <w:r>
        <w:rPr>
          <w:rFonts w:hint="cs"/>
          <w:color w:val="auto"/>
          <w:rtl/>
          <w:lang w:eastAsia="en-US"/>
        </w:rPr>
        <w:t>י"ז בחשוון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ח</w:t>
      </w:r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6.11</w:t>
      </w:r>
      <w:r w:rsidRPr="00D73212">
        <w:rPr>
          <w:color w:val="auto"/>
          <w:rtl/>
          <w:lang w:eastAsia="en-US"/>
        </w:rPr>
        <w:t>.</w:t>
      </w:r>
      <w:r>
        <w:rPr>
          <w:rFonts w:hint="cs"/>
          <w:color w:val="auto"/>
          <w:rtl/>
          <w:lang w:eastAsia="en-US"/>
        </w:rPr>
        <w:t>17</w:t>
      </w:r>
      <w:bookmarkStart w:id="8" w:name="_GoBack"/>
      <w:bookmarkEnd w:id="8"/>
    </w:p>
    <w:sectPr w:rsidR="00372678" w:rsidSect="00372678">
      <w:footerReference w:type="even" r:id="rId11"/>
      <w:footerReference w:type="default" r:id="rId12"/>
      <w:pgSz w:w="11907" w:h="16840" w:code="9"/>
      <w:pgMar w:top="709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372678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107E4341" w14:textId="28AB74BF" w:rsidR="00C15006" w:rsidRDefault="00C15006">
      <w:pPr>
        <w:pStyle w:val="a4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התשכ"ח, עמ' 204.</w:t>
      </w:r>
    </w:p>
  </w:footnote>
  <w:footnote w:id="3">
    <w:p w14:paraId="428744D1" w14:textId="4552B96C" w:rsidR="00BE3321" w:rsidRDefault="00BE3321">
      <w:pPr>
        <w:pStyle w:val="a4"/>
      </w:pPr>
      <w:r>
        <w:rPr>
          <w:rStyle w:val="a5"/>
        </w:rPr>
        <w:footnoteRef/>
      </w:r>
      <w:r>
        <w:rPr>
          <w:rtl/>
        </w:rPr>
        <w:t xml:space="preserve"> </w:t>
      </w:r>
      <w:r w:rsidR="00793ADC">
        <w:rPr>
          <w:rFonts w:hint="cs"/>
          <w:rtl/>
        </w:rPr>
        <w:t>דיני מדינת ישראל, נוסח חדש 27, עמ' 526.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A0185"/>
    <w:multiLevelType w:val="hybridMultilevel"/>
    <w:tmpl w:val="11ECEA00"/>
    <w:lvl w:ilvl="0" w:tplc="ED9AE4B8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C36AF"/>
    <w:multiLevelType w:val="hybridMultilevel"/>
    <w:tmpl w:val="92624AD2"/>
    <w:lvl w:ilvl="0" w:tplc="7CFA20DA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1035"/>
    <w:rsid w:val="000A10E7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21EA8"/>
    <w:rsid w:val="002362BF"/>
    <w:rsid w:val="0024020A"/>
    <w:rsid w:val="00241B97"/>
    <w:rsid w:val="002425D1"/>
    <w:rsid w:val="00246756"/>
    <w:rsid w:val="00251E58"/>
    <w:rsid w:val="00254605"/>
    <w:rsid w:val="00266D86"/>
    <w:rsid w:val="002728B4"/>
    <w:rsid w:val="0027600C"/>
    <w:rsid w:val="002925B0"/>
    <w:rsid w:val="00292712"/>
    <w:rsid w:val="002A487D"/>
    <w:rsid w:val="002C2E29"/>
    <w:rsid w:val="002C3041"/>
    <w:rsid w:val="002D1EE3"/>
    <w:rsid w:val="002F1D80"/>
    <w:rsid w:val="003232A2"/>
    <w:rsid w:val="00325C14"/>
    <w:rsid w:val="00334A0B"/>
    <w:rsid w:val="0036422C"/>
    <w:rsid w:val="003679B4"/>
    <w:rsid w:val="003710F6"/>
    <w:rsid w:val="00372678"/>
    <w:rsid w:val="00386E88"/>
    <w:rsid w:val="003879BE"/>
    <w:rsid w:val="0039429C"/>
    <w:rsid w:val="00396585"/>
    <w:rsid w:val="003D6E38"/>
    <w:rsid w:val="003D74A0"/>
    <w:rsid w:val="004033D8"/>
    <w:rsid w:val="00405601"/>
    <w:rsid w:val="004073F0"/>
    <w:rsid w:val="00412A7D"/>
    <w:rsid w:val="00416B4D"/>
    <w:rsid w:val="00417CFC"/>
    <w:rsid w:val="00454281"/>
    <w:rsid w:val="004810DF"/>
    <w:rsid w:val="00481A87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B064E"/>
    <w:rsid w:val="005D51AE"/>
    <w:rsid w:val="006137FB"/>
    <w:rsid w:val="0062674B"/>
    <w:rsid w:val="006363B2"/>
    <w:rsid w:val="00644940"/>
    <w:rsid w:val="006818A9"/>
    <w:rsid w:val="006A2D81"/>
    <w:rsid w:val="006C1D0D"/>
    <w:rsid w:val="006F72FD"/>
    <w:rsid w:val="0070601E"/>
    <w:rsid w:val="00706EAC"/>
    <w:rsid w:val="00712C72"/>
    <w:rsid w:val="007203EC"/>
    <w:rsid w:val="00735FE9"/>
    <w:rsid w:val="00763CAA"/>
    <w:rsid w:val="00765F66"/>
    <w:rsid w:val="0078664F"/>
    <w:rsid w:val="00793ADC"/>
    <w:rsid w:val="007969D8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46E91"/>
    <w:rsid w:val="00865572"/>
    <w:rsid w:val="00874561"/>
    <w:rsid w:val="00874BBC"/>
    <w:rsid w:val="00892135"/>
    <w:rsid w:val="00895449"/>
    <w:rsid w:val="00897879"/>
    <w:rsid w:val="008A6870"/>
    <w:rsid w:val="008C2DDC"/>
    <w:rsid w:val="008C7516"/>
    <w:rsid w:val="008D38BB"/>
    <w:rsid w:val="008E6EC7"/>
    <w:rsid w:val="008F0D63"/>
    <w:rsid w:val="008F1308"/>
    <w:rsid w:val="008F2C35"/>
    <w:rsid w:val="008F2D2D"/>
    <w:rsid w:val="008F6665"/>
    <w:rsid w:val="008F79EF"/>
    <w:rsid w:val="00904591"/>
    <w:rsid w:val="00905E5F"/>
    <w:rsid w:val="0091204F"/>
    <w:rsid w:val="00916CC0"/>
    <w:rsid w:val="009203DB"/>
    <w:rsid w:val="00923CD4"/>
    <w:rsid w:val="00930EFE"/>
    <w:rsid w:val="00943386"/>
    <w:rsid w:val="009456B6"/>
    <w:rsid w:val="00957589"/>
    <w:rsid w:val="00966D06"/>
    <w:rsid w:val="00970A20"/>
    <w:rsid w:val="00982412"/>
    <w:rsid w:val="00983A8D"/>
    <w:rsid w:val="009A0DB8"/>
    <w:rsid w:val="009A648C"/>
    <w:rsid w:val="009A7257"/>
    <w:rsid w:val="009C7992"/>
    <w:rsid w:val="009D6E0A"/>
    <w:rsid w:val="009E1D9F"/>
    <w:rsid w:val="009E1E33"/>
    <w:rsid w:val="00A12178"/>
    <w:rsid w:val="00A14672"/>
    <w:rsid w:val="00A26BD6"/>
    <w:rsid w:val="00A443CF"/>
    <w:rsid w:val="00A6611D"/>
    <w:rsid w:val="00A82CB7"/>
    <w:rsid w:val="00A942C1"/>
    <w:rsid w:val="00AA2F03"/>
    <w:rsid w:val="00AC36F7"/>
    <w:rsid w:val="00AC63A4"/>
    <w:rsid w:val="00AD239E"/>
    <w:rsid w:val="00B060C7"/>
    <w:rsid w:val="00B10265"/>
    <w:rsid w:val="00B16A99"/>
    <w:rsid w:val="00B21211"/>
    <w:rsid w:val="00B278F0"/>
    <w:rsid w:val="00B35784"/>
    <w:rsid w:val="00B733A7"/>
    <w:rsid w:val="00B75C91"/>
    <w:rsid w:val="00B975AD"/>
    <w:rsid w:val="00BC45FB"/>
    <w:rsid w:val="00BE1E83"/>
    <w:rsid w:val="00BE3321"/>
    <w:rsid w:val="00BF148D"/>
    <w:rsid w:val="00C15006"/>
    <w:rsid w:val="00C23B1A"/>
    <w:rsid w:val="00C310EB"/>
    <w:rsid w:val="00C9176A"/>
    <w:rsid w:val="00CF1AA2"/>
    <w:rsid w:val="00D136D2"/>
    <w:rsid w:val="00D17774"/>
    <w:rsid w:val="00D326EE"/>
    <w:rsid w:val="00D50B1F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D38"/>
    <w:rsid w:val="00E665B9"/>
    <w:rsid w:val="00EA01E6"/>
    <w:rsid w:val="00EA3DE8"/>
    <w:rsid w:val="00EA758F"/>
    <w:rsid w:val="00ED4A6F"/>
    <w:rsid w:val="00EF3A3A"/>
    <w:rsid w:val="00F30B86"/>
    <w:rsid w:val="00F628D6"/>
    <w:rsid w:val="00F67051"/>
    <w:rsid w:val="00F86869"/>
    <w:rsid w:val="00F86A1E"/>
    <w:rsid w:val="00FA0148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7CC2A52-7C30-40EF-A06A-B08F5CE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7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1558E9-D264-49D5-93EB-7FCE53C75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4AFE3-9455-419C-8851-785A55F4451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2C2B4F-13F5-4323-93C0-F4CE6994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1</Pages>
  <Words>294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36</cp:revision>
  <cp:lastPrinted>2017-11-01T09:09:00Z</cp:lastPrinted>
  <dcterms:created xsi:type="dcterms:W3CDTF">2015-04-20T09:58:00Z</dcterms:created>
  <dcterms:modified xsi:type="dcterms:W3CDTF">2017-11-01T09:12:00Z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2016603</vt:r8>
  </property>
</Properties>
</file>