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6961A1" w14:textId="77777777" w:rsidR="002C2E29" w:rsidRPr="0000131B" w:rsidRDefault="004033D8" w:rsidP="00A443CF">
      <w:pPr>
        <w:pStyle w:val="HeadHatzaotHok"/>
        <w:jc w:val="right"/>
        <w:rPr>
          <w:b w:val="0"/>
          <w:bCs w:val="0"/>
          <w:szCs w:val="20"/>
        </w:rPr>
      </w:pPr>
      <w:r w:rsidRPr="0000131B">
        <w:rPr>
          <w:rFonts w:hint="cs"/>
          <w:b w:val="0"/>
          <w:bCs w:val="0"/>
          <w:szCs w:val="20"/>
          <w:rtl/>
        </w:rPr>
        <w:t xml:space="preserve">מספר פנימי: </w:t>
      </w:r>
      <w:bookmarkStart w:id="0" w:name="LGS_Internal_ID"/>
      <w:r>
        <w:rPr>
          <w:rFonts w:hint="cs"/>
          <w:b w:val="0"/>
          <w:bCs w:val="0"/>
          <w:szCs w:val="20"/>
          <w:rtl/>
        </w:rPr>
        <w:t>2018609</w:t>
      </w:r>
      <w:bookmarkEnd w:id="0"/>
    </w:p>
    <w:p w14:paraId="7F6961A2" w14:textId="53D639AE" w:rsidR="00E13C27" w:rsidRPr="00DB7060" w:rsidRDefault="00E13C27" w:rsidP="00A443CF">
      <w:pPr>
        <w:pStyle w:val="HeadHatzaotHok"/>
        <w:rPr>
          <w:sz w:val="28"/>
          <w:szCs w:val="28"/>
          <w:rtl/>
        </w:rPr>
      </w:pPr>
      <w:r w:rsidRPr="00DB7060">
        <w:rPr>
          <w:rFonts w:hint="cs"/>
          <w:sz w:val="28"/>
          <w:szCs w:val="28"/>
          <w:rtl/>
        </w:rPr>
        <w:t xml:space="preserve">הכנסת </w:t>
      </w:r>
      <w:bookmarkStart w:id="1" w:name="LGS_Knesset_Num"/>
      <w:r>
        <w:rPr>
          <w:rFonts w:hint="cs"/>
          <w:sz w:val="28"/>
          <w:szCs w:val="28"/>
          <w:rtl/>
        </w:rPr>
        <w:t>העשרים</w:t>
      </w:r>
      <w:bookmarkEnd w:id="1"/>
    </w:p>
    <w:p w14:paraId="7F6961A3" w14:textId="77777777" w:rsidR="00E13C27" w:rsidRPr="00F67051" w:rsidRDefault="00E13C27" w:rsidP="00E13C27">
      <w:pPr>
        <w:rPr>
          <w:rFonts w:cs="David"/>
          <w:b/>
          <w:bCs/>
          <w:sz w:val="26"/>
          <w:szCs w:val="26"/>
          <w:rtl/>
        </w:rPr>
      </w:pPr>
    </w:p>
    <w:p w14:paraId="7F6961A6" w14:textId="77777777" w:rsidR="00E13C27" w:rsidRDefault="008F6665" w:rsidP="00930EFE">
      <w:pPr>
        <w:pStyle w:val="David"/>
        <w:spacing w:line="360" w:lineRule="auto"/>
        <w:ind w:left="3544"/>
        <w:rPr>
          <w:b/>
          <w:bCs/>
          <w:rtl/>
        </w:rPr>
      </w:pPr>
      <w:bookmarkStart w:id="2" w:name="LGS_Initiators_List"/>
      <w:r>
        <w:rPr>
          <w:b/>
          <w:bCs/>
          <w:rtl/>
        </w:rPr>
        <w:t>יוזמים:      חברי הכנסת</w:t>
      </w:r>
      <w:bookmarkEnd w:id="2"/>
      <w:r w:rsidR="00B35784" w:rsidRPr="00F67051">
        <w:rPr>
          <w:b/>
          <w:bCs/>
        </w:rPr>
        <w:tab/>
      </w:r>
      <w:bookmarkStart w:id="3" w:name="LGS_PM_Names"/>
      <w:r>
        <w:rPr>
          <w:rFonts w:hint="cs"/>
          <w:b/>
          <w:bCs/>
          <w:rtl/>
        </w:rPr>
        <w:t>רוברט אילטוב</w:t>
      </w:r>
      <w:r>
        <w:br/>
      </w:r>
      <w:r>
        <w:rPr>
          <w:rFonts w:hint="cs"/>
          <w:b/>
          <w:bCs/>
          <w:rtl/>
        </w:rPr>
        <w:t xml:space="preserve"> </w:t>
      </w:r>
      <w:r>
        <w:tab/>
      </w:r>
      <w:r>
        <w:tab/>
      </w:r>
      <w:r>
        <w:tab/>
      </w:r>
      <w:r>
        <w:tab/>
      </w:r>
      <w:r>
        <w:rPr>
          <w:rFonts w:hint="cs"/>
          <w:b/>
          <w:bCs/>
          <w:rtl/>
        </w:rPr>
        <w:t>יוליה מלינובסקי</w:t>
      </w:r>
      <w:r>
        <w:br/>
      </w:r>
      <w:r>
        <w:rPr>
          <w:rFonts w:hint="cs"/>
          <w:b/>
          <w:bCs/>
          <w:rtl/>
        </w:rPr>
        <w:t xml:space="preserve"> </w:t>
      </w:r>
      <w:r>
        <w:tab/>
      </w:r>
      <w:r>
        <w:tab/>
      </w:r>
      <w:r>
        <w:tab/>
      </w:r>
      <w:r>
        <w:tab/>
      </w:r>
      <w:r>
        <w:rPr>
          <w:rFonts w:hint="cs"/>
          <w:b/>
          <w:bCs/>
          <w:rtl/>
        </w:rPr>
        <w:t>חמד עמאר</w:t>
      </w:r>
      <w:r>
        <w:br/>
      </w:r>
      <w:r>
        <w:rPr>
          <w:rFonts w:hint="cs"/>
          <w:b/>
          <w:bCs/>
          <w:rtl/>
        </w:rPr>
        <w:t xml:space="preserve"> </w:t>
      </w:r>
      <w:r>
        <w:tab/>
      </w:r>
      <w:r>
        <w:tab/>
      </w:r>
      <w:r>
        <w:tab/>
      </w:r>
      <w:r>
        <w:tab/>
      </w:r>
      <w:r>
        <w:rPr>
          <w:rFonts w:hint="cs"/>
          <w:b/>
          <w:bCs/>
          <w:rtl/>
        </w:rPr>
        <w:t>עודד פורר</w:t>
      </w:r>
      <w:r>
        <w:br/>
      </w:r>
      <w:r>
        <w:rPr>
          <w:rFonts w:hint="cs"/>
          <w:b/>
          <w:bCs/>
          <w:rtl/>
        </w:rPr>
        <w:t xml:space="preserve"> </w:t>
      </w:r>
      <w:r>
        <w:tab/>
      </w:r>
      <w:r>
        <w:tab/>
      </w:r>
      <w:r>
        <w:tab/>
      </w:r>
      <w:r>
        <w:tab/>
      </w:r>
      <w:r>
        <w:rPr>
          <w:rFonts w:hint="cs"/>
          <w:b/>
          <w:bCs/>
          <w:rtl/>
        </w:rPr>
        <w:t>איציק שמולי</w:t>
      </w:r>
      <w:r>
        <w:br/>
      </w:r>
      <w:r>
        <w:rPr>
          <w:rFonts w:hint="cs"/>
          <w:b/>
          <w:bCs/>
          <w:rtl/>
        </w:rPr>
        <w:t xml:space="preserve"> </w:t>
      </w:r>
      <w:r>
        <w:tab/>
      </w:r>
      <w:r>
        <w:tab/>
      </w:r>
      <w:r>
        <w:tab/>
      </w:r>
      <w:r>
        <w:tab/>
      </w:r>
      <w:r>
        <w:rPr>
          <w:rFonts w:hint="cs"/>
          <w:b/>
          <w:bCs/>
          <w:rtl/>
        </w:rPr>
        <w:t>יפעת שאשא ביטון</w:t>
      </w:r>
      <w:r>
        <w:br/>
      </w:r>
      <w:r>
        <w:rPr>
          <w:rFonts w:hint="cs"/>
          <w:b/>
          <w:bCs/>
          <w:rtl/>
        </w:rPr>
        <w:t xml:space="preserve"> </w:t>
      </w:r>
      <w:r>
        <w:tab/>
      </w:r>
      <w:r>
        <w:tab/>
      </w:r>
      <w:r>
        <w:tab/>
      </w:r>
      <w:r>
        <w:tab/>
      </w:r>
      <w:r>
        <w:rPr>
          <w:rFonts w:hint="cs"/>
          <w:b/>
          <w:bCs/>
          <w:rtl/>
        </w:rPr>
        <w:t>אמיר אוחנה</w:t>
      </w:r>
      <w:r>
        <w:br/>
      </w:r>
      <w:r>
        <w:rPr>
          <w:rFonts w:hint="cs"/>
          <w:b/>
          <w:bCs/>
          <w:rtl/>
        </w:rPr>
        <w:t xml:space="preserve"> </w:t>
      </w:r>
      <w:r>
        <w:tab/>
      </w:r>
      <w:r>
        <w:tab/>
      </w:r>
      <w:r>
        <w:tab/>
      </w:r>
      <w:r>
        <w:tab/>
      </w:r>
      <w:r>
        <w:rPr>
          <w:rFonts w:hint="cs"/>
          <w:b/>
          <w:bCs/>
          <w:rtl/>
        </w:rPr>
        <w:t>אורי מקלב</w:t>
      </w:r>
      <w:bookmarkEnd w:id="3"/>
    </w:p>
    <w:p w14:paraId="7F6961AA" w14:textId="39F9D96B" w:rsidR="00E13C27" w:rsidRPr="00CF1AA2" w:rsidRDefault="007D585A" w:rsidP="0036422C">
      <w:pPr>
        <w:pStyle w:val="David"/>
        <w:spacing w:before="0" w:line="360" w:lineRule="auto"/>
        <w:ind w:left="3544"/>
        <w:rPr>
          <w:b/>
          <w:bCs/>
          <w:sz w:val="16"/>
          <w:szCs w:val="16"/>
          <w:rtl/>
        </w:rPr>
      </w:pPr>
      <w:bookmarkStart w:id="4" w:name="LGS_Join_List"/>
      <w:r>
        <w:rPr>
          <w:rtl/>
        </w:rPr>
        <w:t xml:space="preserve"> </w:t>
      </w:r>
      <w:bookmarkEnd w:id="4"/>
      <w:r w:rsidR="002200A1" w:rsidRPr="00CF1AA2">
        <w:rPr>
          <w:rFonts w:hint="cs"/>
          <w:rtl/>
        </w:rPr>
        <w:tab/>
      </w:r>
      <w:bookmarkStart w:id="5" w:name="LGS_PM_NamesJoin"/>
      <w:r>
        <w:rPr>
          <w:rFonts w:hint="cs"/>
          <w:rtl/>
        </w:rPr>
        <w:t xml:space="preserve"> </w:t>
      </w:r>
      <w:bookmarkEnd w:id="5"/>
    </w:p>
    <w:p w14:paraId="34DB4103" w14:textId="77777777" w:rsidR="00904591" w:rsidRPr="00904591" w:rsidRDefault="00266D86" w:rsidP="0036422C">
      <w:pPr>
        <w:pStyle w:val="David"/>
        <w:spacing w:before="0" w:line="360" w:lineRule="auto"/>
        <w:ind w:left="3544"/>
        <w:rPr>
          <w:sz w:val="4"/>
          <w:szCs w:val="4"/>
          <w:rtl/>
        </w:rPr>
      </w:pPr>
      <w:r>
        <w:t>____</w:t>
      </w:r>
      <w:r w:rsidR="00E374F2">
        <w:t>__</w:t>
      </w:r>
      <w:r>
        <w:t>________________________________________</w:t>
      </w:r>
      <w:r w:rsidR="00E06736" w:rsidRPr="00E06736">
        <w:tab/>
      </w:r>
      <w:r w:rsidR="00E13C27" w:rsidRPr="00E06736">
        <w:rPr>
          <w:rFonts w:hint="cs"/>
          <w:rtl/>
        </w:rPr>
        <w:tab/>
      </w:r>
      <w:r w:rsidR="00E13C27" w:rsidRPr="00E06736">
        <w:rPr>
          <w:rFonts w:hint="cs"/>
          <w:rtl/>
        </w:rPr>
        <w:tab/>
      </w:r>
      <w:r w:rsidR="00E13C27" w:rsidRPr="00E06736">
        <w:rPr>
          <w:rFonts w:hint="cs"/>
          <w:rtl/>
        </w:rPr>
        <w:tab/>
      </w:r>
      <w:r w:rsidR="00904591">
        <w:t xml:space="preserve">           </w:t>
      </w:r>
    </w:p>
    <w:p w14:paraId="7F6961AB" w14:textId="256138AA" w:rsidR="00E13C27" w:rsidRPr="00E06736" w:rsidRDefault="00904591" w:rsidP="00904591">
      <w:pPr>
        <w:pStyle w:val="David"/>
        <w:spacing w:before="0" w:line="240" w:lineRule="auto"/>
        <w:ind w:left="3544"/>
        <w:rPr>
          <w:rtl/>
        </w:rPr>
      </w:pPr>
      <w:r>
        <w:t xml:space="preserve">                                            </w:t>
      </w:r>
      <w:r w:rsidR="008F1308">
        <w:t xml:space="preserve"> </w:t>
      </w:r>
      <w:bookmarkStart w:id="6" w:name="Private_Number"/>
      <w:r>
        <w:rPr>
          <w:rFonts w:hint="cs"/>
          <w:rtl/>
        </w:rPr>
        <w:t>פ/4571/20</w:t>
      </w:r>
      <w:bookmarkEnd w:id="6"/>
    </w:p>
    <w:p w14:paraId="7F6961AD" w14:textId="1A30A2AE" w:rsidR="00E13C27" w:rsidRDefault="00A443CF" w:rsidP="0021633A">
      <w:pPr>
        <w:pStyle w:val="HeadHatzaotHok"/>
        <w:rPr>
          <w:rtl/>
        </w:rPr>
      </w:pPr>
      <w:bookmarkStart w:id="7" w:name="LGS_Subject"/>
      <w:r>
        <w:rPr>
          <w:rFonts w:hint="cs"/>
          <w:rtl/>
        </w:rPr>
        <w:t>הצעת חוק הפיקוח על שירותים פיננסיים (ביטוח)</w:t>
      </w:r>
      <w:r w:rsidR="00B03772">
        <w:rPr>
          <w:rFonts w:hint="cs"/>
          <w:rtl/>
        </w:rPr>
        <w:t xml:space="preserve"> </w:t>
      </w:r>
      <w:r>
        <w:rPr>
          <w:rFonts w:hint="cs"/>
          <w:rtl/>
        </w:rPr>
        <w:t xml:space="preserve">(תיקון – </w:t>
      </w:r>
      <w:r w:rsidR="000B2191">
        <w:rPr>
          <w:rFonts w:hint="cs"/>
          <w:rtl/>
        </w:rPr>
        <w:t>היתר ל</w:t>
      </w:r>
      <w:r>
        <w:rPr>
          <w:rFonts w:hint="cs"/>
          <w:rtl/>
        </w:rPr>
        <w:t>שיווק ומכיר</w:t>
      </w:r>
      <w:r w:rsidR="000B2191">
        <w:rPr>
          <w:rFonts w:hint="cs"/>
          <w:rtl/>
        </w:rPr>
        <w:t>ה של</w:t>
      </w:r>
      <w:r>
        <w:rPr>
          <w:rFonts w:hint="cs"/>
          <w:rtl/>
        </w:rPr>
        <w:t xml:space="preserve"> ביטוח נסיעות לחו"ל), התשע"ז–2017</w:t>
      </w:r>
      <w:bookmarkEnd w:id="7"/>
    </w:p>
    <w:tbl>
      <w:tblPr>
        <w:bidiVisual/>
        <w:tblW w:w="9641" w:type="dxa"/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1871"/>
        <w:gridCol w:w="624"/>
        <w:gridCol w:w="624"/>
        <w:gridCol w:w="6522"/>
      </w:tblGrid>
      <w:tr w:rsidR="00B03772" w14:paraId="511F5212" w14:textId="77777777" w:rsidTr="002643FD">
        <w:trPr>
          <w:cantSplit/>
          <w:trHeight w:val="60"/>
        </w:trPr>
        <w:tc>
          <w:tcPr>
            <w:tcW w:w="1871" w:type="dxa"/>
          </w:tcPr>
          <w:p w14:paraId="37A46207" w14:textId="26AE7BFF" w:rsidR="00B03772" w:rsidRDefault="00B03772" w:rsidP="002643FD">
            <w:pPr>
              <w:pStyle w:val="TableSideHeading"/>
              <w:keepLines w:val="0"/>
            </w:pPr>
            <w:r>
              <w:rPr>
                <w:rFonts w:hint="cs"/>
                <w:rtl/>
              </w:rPr>
              <w:t xml:space="preserve">תיקון סעיף 1 </w:t>
            </w:r>
          </w:p>
        </w:tc>
        <w:tc>
          <w:tcPr>
            <w:tcW w:w="624" w:type="dxa"/>
          </w:tcPr>
          <w:p w14:paraId="38518195" w14:textId="0206A73C" w:rsidR="00B03772" w:rsidRPr="00904939" w:rsidRDefault="00453925" w:rsidP="002643FD">
            <w:pPr>
              <w:pStyle w:val="TableText"/>
            </w:pPr>
            <w:r>
              <w:rPr>
                <w:rFonts w:hint="cs"/>
                <w:rtl/>
              </w:rPr>
              <w:t>1.</w:t>
            </w:r>
          </w:p>
        </w:tc>
        <w:tc>
          <w:tcPr>
            <w:tcW w:w="7146" w:type="dxa"/>
            <w:gridSpan w:val="2"/>
          </w:tcPr>
          <w:p w14:paraId="29E4FF35" w14:textId="74CD17A0" w:rsidR="00B03772" w:rsidRPr="00453925" w:rsidRDefault="00B03772" w:rsidP="002A7AD4">
            <w:pPr>
              <w:pStyle w:val="TableBlock"/>
            </w:pPr>
            <w:r w:rsidRPr="00453925">
              <w:rPr>
                <w:rtl/>
              </w:rPr>
              <w:t xml:space="preserve">בחוק </w:t>
            </w:r>
            <w:r w:rsidRPr="00453925">
              <w:rPr>
                <w:rFonts w:hint="cs"/>
                <w:rtl/>
              </w:rPr>
              <w:t>הפיקוח על שירותים פיננסיים (ביטוח), התשמ"א</w:t>
            </w:r>
            <w:r w:rsidRPr="00453925">
              <w:rPr>
                <w:rFonts w:hint="eastAsia"/>
                <w:rtl/>
              </w:rPr>
              <w:t>–</w:t>
            </w:r>
            <w:r w:rsidRPr="00453925">
              <w:rPr>
                <w:rFonts w:hint="cs"/>
                <w:rtl/>
              </w:rPr>
              <w:t>1981</w:t>
            </w:r>
            <w:r w:rsidRPr="002C1BB8">
              <w:rPr>
                <w:szCs w:val="20"/>
                <w:rtl/>
              </w:rPr>
              <w:footnoteReference w:id="2"/>
            </w:r>
            <w:r w:rsidR="002A7AD4">
              <w:rPr>
                <w:rFonts w:hint="cs"/>
                <w:rtl/>
              </w:rPr>
              <w:t xml:space="preserve"> </w:t>
            </w:r>
            <w:r w:rsidR="00CA5F2D">
              <w:rPr>
                <w:rFonts w:hint="cs"/>
                <w:rtl/>
              </w:rPr>
              <w:t xml:space="preserve">(להלן </w:t>
            </w:r>
            <w:r w:rsidR="00CA5F2D">
              <w:rPr>
                <w:rFonts w:hint="eastAsia"/>
                <w:rtl/>
              </w:rPr>
              <w:t>–</w:t>
            </w:r>
            <w:r w:rsidR="00CA5F2D">
              <w:rPr>
                <w:rFonts w:hint="cs"/>
              </w:rPr>
              <w:t xml:space="preserve"> </w:t>
            </w:r>
            <w:r w:rsidR="00CA5F2D">
              <w:rPr>
                <w:rFonts w:hint="cs"/>
                <w:rtl/>
              </w:rPr>
              <w:t>החוק</w:t>
            </w:r>
            <w:r w:rsidR="00C104A8">
              <w:rPr>
                <w:rFonts w:hint="cs"/>
                <w:rtl/>
              </w:rPr>
              <w:t xml:space="preserve"> העיקרי</w:t>
            </w:r>
            <w:r w:rsidR="00CA5F2D">
              <w:rPr>
                <w:rFonts w:hint="cs"/>
                <w:rtl/>
              </w:rPr>
              <w:t xml:space="preserve">),  </w:t>
            </w:r>
            <w:r w:rsidR="00453925">
              <w:rPr>
                <w:rFonts w:hint="cs"/>
                <w:rtl/>
              </w:rPr>
              <w:t xml:space="preserve">בסעיף 1, אחרי ההגדרה "סוכן ביטוח" יבוא: </w:t>
            </w:r>
          </w:p>
        </w:tc>
      </w:tr>
      <w:tr w:rsidR="00453925" w14:paraId="2CA21BD6" w14:textId="77777777" w:rsidTr="002643FD">
        <w:trPr>
          <w:cantSplit/>
          <w:trHeight w:val="60"/>
        </w:trPr>
        <w:tc>
          <w:tcPr>
            <w:tcW w:w="1871" w:type="dxa"/>
          </w:tcPr>
          <w:p w14:paraId="16B3B2E0" w14:textId="77777777" w:rsidR="00453925" w:rsidRDefault="00453925" w:rsidP="002643FD">
            <w:pPr>
              <w:pStyle w:val="TableSideHeading"/>
              <w:keepLines w:val="0"/>
              <w:rPr>
                <w:rtl/>
              </w:rPr>
            </w:pPr>
          </w:p>
        </w:tc>
        <w:tc>
          <w:tcPr>
            <w:tcW w:w="624" w:type="dxa"/>
          </w:tcPr>
          <w:p w14:paraId="06E1EAE2" w14:textId="77777777" w:rsidR="00453925" w:rsidRDefault="00453925" w:rsidP="00453925">
            <w:pPr>
              <w:pStyle w:val="TableText"/>
              <w:rPr>
                <w:rtl/>
              </w:rPr>
            </w:pPr>
          </w:p>
        </w:tc>
        <w:tc>
          <w:tcPr>
            <w:tcW w:w="7146" w:type="dxa"/>
            <w:gridSpan w:val="2"/>
          </w:tcPr>
          <w:p w14:paraId="23FC99B9" w14:textId="0226DD94" w:rsidR="00453925" w:rsidRPr="00216280" w:rsidRDefault="00453925" w:rsidP="002C1BB8">
            <w:pPr>
              <w:pStyle w:val="TableBlockOutdent"/>
              <w:rPr>
                <w:rtl/>
              </w:rPr>
            </w:pPr>
            <w:r w:rsidRPr="00216280">
              <w:rPr>
                <w:rtl/>
              </w:rPr>
              <w:t xml:space="preserve">""סוכן נסיעות" </w:t>
            </w:r>
            <w:r w:rsidRPr="00216280">
              <w:rPr>
                <w:rFonts w:hint="eastAsia"/>
                <w:rtl/>
              </w:rPr>
              <w:t>–</w:t>
            </w:r>
            <w:r w:rsidRPr="00216280">
              <w:rPr>
                <w:rtl/>
              </w:rPr>
              <w:t xml:space="preserve"> </w:t>
            </w:r>
            <w:r w:rsidR="00D57A75" w:rsidRPr="00216280">
              <w:rPr>
                <w:rFonts w:hint="eastAsia"/>
                <w:rtl/>
              </w:rPr>
              <w:t>אדם</w:t>
            </w:r>
            <w:r w:rsidR="00D57A75" w:rsidRPr="00216280">
              <w:rPr>
                <w:rtl/>
              </w:rPr>
              <w:t xml:space="preserve"> שבתמורה או כעסק עושה אחת מאלה, בין בנוסף לפעולותיו של משרד לתיור ובין כפעולה לעצמה: </w:t>
            </w:r>
          </w:p>
        </w:tc>
      </w:tr>
      <w:tr w:rsidR="00D57A75" w14:paraId="5A73D80B" w14:textId="77777777">
        <w:trPr>
          <w:cantSplit/>
          <w:trHeight w:val="60"/>
        </w:trPr>
        <w:tc>
          <w:tcPr>
            <w:tcW w:w="1871" w:type="dxa"/>
          </w:tcPr>
          <w:p w14:paraId="40A2C5F7" w14:textId="77777777" w:rsidR="00D57A75" w:rsidRDefault="00D57A75">
            <w:pPr>
              <w:pStyle w:val="TableSideHeading"/>
            </w:pPr>
          </w:p>
        </w:tc>
        <w:tc>
          <w:tcPr>
            <w:tcW w:w="624" w:type="dxa"/>
          </w:tcPr>
          <w:p w14:paraId="3F915E29" w14:textId="77777777" w:rsidR="00D57A75" w:rsidRDefault="00D57A75">
            <w:pPr>
              <w:pStyle w:val="TableText"/>
            </w:pPr>
          </w:p>
        </w:tc>
        <w:tc>
          <w:tcPr>
            <w:tcW w:w="624" w:type="dxa"/>
          </w:tcPr>
          <w:p w14:paraId="46D62508" w14:textId="77777777" w:rsidR="00D57A75" w:rsidRDefault="00D57A75">
            <w:pPr>
              <w:pStyle w:val="TableText"/>
            </w:pPr>
          </w:p>
        </w:tc>
        <w:tc>
          <w:tcPr>
            <w:tcW w:w="6522" w:type="dxa"/>
          </w:tcPr>
          <w:p w14:paraId="20579174" w14:textId="2F98AEA2" w:rsidR="00D57A75" w:rsidRDefault="00D57A75" w:rsidP="002C1BB8">
            <w:pPr>
              <w:pStyle w:val="TableBlock"/>
            </w:pPr>
            <w:r>
              <w:rPr>
                <w:rFonts w:hint="cs"/>
                <w:rtl/>
              </w:rPr>
              <w:t>(1)</w:t>
            </w:r>
            <w:r>
              <w:rPr>
                <w:rtl/>
              </w:rPr>
              <w:tab/>
            </w:r>
            <w:r w:rsidR="002A7AD4">
              <w:rPr>
                <w:rFonts w:hint="cs"/>
                <w:rtl/>
              </w:rPr>
              <w:t xml:space="preserve">ברישה, </w:t>
            </w:r>
            <w:r w:rsidR="00216280">
              <w:rPr>
                <w:rFonts w:hint="cs"/>
                <w:rtl/>
              </w:rPr>
              <w:t>מארגן סיור למדינות חוץ או מזמין שירותים בעסק לצרכי סיור כאמור;</w:t>
            </w:r>
          </w:p>
        </w:tc>
      </w:tr>
      <w:tr w:rsidR="00D57A75" w14:paraId="250A9BDE" w14:textId="77777777">
        <w:trPr>
          <w:cantSplit/>
          <w:trHeight w:val="60"/>
        </w:trPr>
        <w:tc>
          <w:tcPr>
            <w:tcW w:w="1871" w:type="dxa"/>
          </w:tcPr>
          <w:p w14:paraId="6515E885" w14:textId="77777777" w:rsidR="00D57A75" w:rsidRDefault="00D57A75">
            <w:pPr>
              <w:pStyle w:val="TableSideHeading"/>
            </w:pPr>
          </w:p>
        </w:tc>
        <w:tc>
          <w:tcPr>
            <w:tcW w:w="624" w:type="dxa"/>
          </w:tcPr>
          <w:p w14:paraId="148615DA" w14:textId="77777777" w:rsidR="00D57A75" w:rsidRDefault="00D57A75" w:rsidP="00D57A75">
            <w:pPr>
              <w:pStyle w:val="TableText"/>
            </w:pPr>
          </w:p>
        </w:tc>
        <w:tc>
          <w:tcPr>
            <w:tcW w:w="624" w:type="dxa"/>
          </w:tcPr>
          <w:p w14:paraId="7701165F" w14:textId="77777777" w:rsidR="00D57A75" w:rsidRDefault="00D57A75">
            <w:pPr>
              <w:pStyle w:val="TableText"/>
            </w:pPr>
          </w:p>
        </w:tc>
        <w:tc>
          <w:tcPr>
            <w:tcW w:w="6522" w:type="dxa"/>
          </w:tcPr>
          <w:p w14:paraId="7FC433F8" w14:textId="2EE56407" w:rsidR="00D57A75" w:rsidRPr="00216280" w:rsidRDefault="00216280">
            <w:pPr>
              <w:pStyle w:val="TableBlock"/>
            </w:pPr>
            <w:r>
              <w:rPr>
                <w:rFonts w:hint="cs"/>
                <w:rtl/>
              </w:rPr>
              <w:t>ׁ(2)</w:t>
            </w:r>
            <w:r>
              <w:rPr>
                <w:rtl/>
              </w:rPr>
              <w:tab/>
            </w:r>
            <w:r>
              <w:rPr>
                <w:rFonts w:hint="cs"/>
                <w:rtl/>
              </w:rPr>
              <w:t>מזמין או מוכר כרטיסי נסיעה או שוברי נסיעה למדינות חוץ;</w:t>
            </w:r>
          </w:p>
        </w:tc>
      </w:tr>
      <w:tr w:rsidR="00D57A75" w14:paraId="29B15C7D" w14:textId="77777777">
        <w:trPr>
          <w:cantSplit/>
          <w:trHeight w:val="60"/>
        </w:trPr>
        <w:tc>
          <w:tcPr>
            <w:tcW w:w="1871" w:type="dxa"/>
          </w:tcPr>
          <w:p w14:paraId="7480007D" w14:textId="77777777" w:rsidR="00D57A75" w:rsidRDefault="00D57A75">
            <w:pPr>
              <w:pStyle w:val="TableSideHeading"/>
            </w:pPr>
          </w:p>
        </w:tc>
        <w:tc>
          <w:tcPr>
            <w:tcW w:w="624" w:type="dxa"/>
          </w:tcPr>
          <w:p w14:paraId="6D9FAF66" w14:textId="77777777" w:rsidR="00D57A75" w:rsidRDefault="00D57A75" w:rsidP="00D57A75">
            <w:pPr>
              <w:pStyle w:val="TableText"/>
            </w:pPr>
          </w:p>
        </w:tc>
        <w:tc>
          <w:tcPr>
            <w:tcW w:w="624" w:type="dxa"/>
          </w:tcPr>
          <w:p w14:paraId="2218BCCA" w14:textId="77777777" w:rsidR="00D57A75" w:rsidRDefault="00D57A75">
            <w:pPr>
              <w:pStyle w:val="TableText"/>
            </w:pPr>
          </w:p>
        </w:tc>
        <w:tc>
          <w:tcPr>
            <w:tcW w:w="6522" w:type="dxa"/>
          </w:tcPr>
          <w:p w14:paraId="2A0F580B" w14:textId="38F5E0D6" w:rsidR="00D57A75" w:rsidRPr="00216280" w:rsidRDefault="00216280">
            <w:pPr>
              <w:pStyle w:val="TableBlock"/>
            </w:pPr>
            <w:r>
              <w:rPr>
                <w:rFonts w:hint="cs"/>
                <w:rtl/>
              </w:rPr>
              <w:t>(3)</w:t>
            </w:r>
            <w:r>
              <w:rPr>
                <w:rtl/>
              </w:rPr>
              <w:tab/>
            </w:r>
            <w:r>
              <w:rPr>
                <w:rFonts w:hint="cs"/>
                <w:rtl/>
              </w:rPr>
              <w:t>מזמין שירותי בית מלון במדינות חוץ;</w:t>
            </w:r>
          </w:p>
        </w:tc>
      </w:tr>
      <w:tr w:rsidR="00216280" w14:paraId="4816E7FC" w14:textId="77777777">
        <w:trPr>
          <w:cantSplit/>
          <w:trHeight w:val="60"/>
        </w:trPr>
        <w:tc>
          <w:tcPr>
            <w:tcW w:w="1871" w:type="dxa"/>
          </w:tcPr>
          <w:p w14:paraId="6CCF4DEB" w14:textId="77777777" w:rsidR="00216280" w:rsidRDefault="00216280">
            <w:pPr>
              <w:pStyle w:val="TableSideHeading"/>
            </w:pPr>
          </w:p>
        </w:tc>
        <w:tc>
          <w:tcPr>
            <w:tcW w:w="624" w:type="dxa"/>
          </w:tcPr>
          <w:p w14:paraId="67ED23E9" w14:textId="77777777" w:rsidR="00216280" w:rsidRDefault="00216280" w:rsidP="00216280">
            <w:pPr>
              <w:pStyle w:val="TableText"/>
            </w:pPr>
          </w:p>
        </w:tc>
        <w:tc>
          <w:tcPr>
            <w:tcW w:w="624" w:type="dxa"/>
          </w:tcPr>
          <w:p w14:paraId="0F877F15" w14:textId="77777777" w:rsidR="00216280" w:rsidRDefault="00216280">
            <w:pPr>
              <w:pStyle w:val="TableText"/>
            </w:pPr>
          </w:p>
        </w:tc>
        <w:tc>
          <w:tcPr>
            <w:tcW w:w="6522" w:type="dxa"/>
          </w:tcPr>
          <w:p w14:paraId="5C230F82" w14:textId="5C89BD4F" w:rsidR="00216280" w:rsidRDefault="00216280" w:rsidP="00C104A8">
            <w:pPr>
              <w:pStyle w:val="TableBlock"/>
              <w:rPr>
                <w:rtl/>
              </w:rPr>
            </w:pPr>
            <w:r>
              <w:rPr>
                <w:rFonts w:hint="cs"/>
                <w:rtl/>
              </w:rPr>
              <w:t>(4)</w:t>
            </w:r>
            <w:r>
              <w:rPr>
                <w:rtl/>
              </w:rPr>
              <w:tab/>
            </w:r>
            <w:r>
              <w:rPr>
                <w:rFonts w:hint="cs"/>
                <w:rtl/>
              </w:rPr>
              <w:t>נותן ייעוץ מקצועי בכל עניין כאמור בפסקאות (1) עד (3) בתמורה וכעסק</w:t>
            </w:r>
            <w:r w:rsidR="00C104A8">
              <w:rPr>
                <w:rFonts w:hint="cs"/>
                <w:rtl/>
              </w:rPr>
              <w:t>;</w:t>
            </w:r>
            <w:r>
              <w:rPr>
                <w:rFonts w:hint="cs"/>
                <w:rtl/>
              </w:rPr>
              <w:t>"</w:t>
            </w:r>
            <w:r w:rsidR="00C104A8">
              <w:rPr>
                <w:rFonts w:hint="cs"/>
                <w:rtl/>
              </w:rPr>
              <w:t>.</w:t>
            </w:r>
          </w:p>
        </w:tc>
      </w:tr>
      <w:tr w:rsidR="00CA5F2D" w14:paraId="02455F95" w14:textId="77777777" w:rsidTr="00123ECF">
        <w:trPr>
          <w:cantSplit/>
          <w:trHeight w:val="60"/>
        </w:trPr>
        <w:tc>
          <w:tcPr>
            <w:tcW w:w="1871" w:type="dxa"/>
          </w:tcPr>
          <w:p w14:paraId="1C18FEE4" w14:textId="56FD5B44" w:rsidR="00CA5F2D" w:rsidRDefault="00CA5F2D">
            <w:pPr>
              <w:pStyle w:val="TableSideHeading"/>
            </w:pPr>
            <w:r>
              <w:rPr>
                <w:rFonts w:hint="cs"/>
                <w:rtl/>
              </w:rPr>
              <w:t>תיקון סעיף 24</w:t>
            </w:r>
          </w:p>
        </w:tc>
        <w:tc>
          <w:tcPr>
            <w:tcW w:w="624" w:type="dxa"/>
          </w:tcPr>
          <w:p w14:paraId="05F723B5" w14:textId="3DC88727" w:rsidR="00CA5F2D" w:rsidRDefault="00CA5F2D" w:rsidP="00216280">
            <w:pPr>
              <w:pStyle w:val="TableText"/>
            </w:pPr>
            <w:r>
              <w:rPr>
                <w:rFonts w:hint="cs"/>
                <w:rtl/>
              </w:rPr>
              <w:t>2.</w:t>
            </w:r>
          </w:p>
        </w:tc>
        <w:tc>
          <w:tcPr>
            <w:tcW w:w="7146" w:type="dxa"/>
            <w:gridSpan w:val="2"/>
          </w:tcPr>
          <w:p w14:paraId="24AC54FE" w14:textId="7B67ED1F" w:rsidR="00CA5F2D" w:rsidRDefault="00CA5F2D" w:rsidP="002C1BB8">
            <w:pPr>
              <w:pStyle w:val="TableBlock"/>
              <w:rPr>
                <w:rtl/>
              </w:rPr>
            </w:pPr>
            <w:r>
              <w:rPr>
                <w:rFonts w:hint="cs"/>
                <w:rtl/>
              </w:rPr>
              <w:t>בסעיף 24</w:t>
            </w:r>
            <w:r w:rsidR="003F72D5">
              <w:rPr>
                <w:rFonts w:hint="cs"/>
                <w:rtl/>
              </w:rPr>
              <w:t xml:space="preserve">(א) </w:t>
            </w:r>
            <w:r>
              <w:rPr>
                <w:rFonts w:hint="cs"/>
                <w:rtl/>
              </w:rPr>
              <w:t>לחוק</w:t>
            </w:r>
            <w:r w:rsidR="00C104A8">
              <w:rPr>
                <w:rFonts w:hint="cs"/>
                <w:rtl/>
              </w:rPr>
              <w:t xml:space="preserve"> העיקרי</w:t>
            </w:r>
            <w:r w:rsidR="003F72D5">
              <w:rPr>
                <w:rFonts w:hint="cs"/>
                <w:rtl/>
              </w:rPr>
              <w:t xml:space="preserve"> </w:t>
            </w:r>
            <w:r w:rsidR="003F72D5">
              <w:rPr>
                <w:rFonts w:hint="eastAsia"/>
                <w:rtl/>
              </w:rPr>
              <w:t>–</w:t>
            </w:r>
          </w:p>
        </w:tc>
      </w:tr>
      <w:tr w:rsidR="00C104A8" w14:paraId="091273D9" w14:textId="77777777" w:rsidTr="00FA34D3">
        <w:trPr>
          <w:cantSplit/>
          <w:trHeight w:val="60"/>
        </w:trPr>
        <w:tc>
          <w:tcPr>
            <w:tcW w:w="1871" w:type="dxa"/>
          </w:tcPr>
          <w:p w14:paraId="345B37A0" w14:textId="77777777" w:rsidR="00C104A8" w:rsidRDefault="00C104A8">
            <w:pPr>
              <w:pStyle w:val="TableSideHeading"/>
            </w:pPr>
          </w:p>
        </w:tc>
        <w:tc>
          <w:tcPr>
            <w:tcW w:w="624" w:type="dxa"/>
          </w:tcPr>
          <w:p w14:paraId="2A71BF3B" w14:textId="77777777" w:rsidR="00C104A8" w:rsidRDefault="00C104A8">
            <w:pPr>
              <w:pStyle w:val="TableText"/>
            </w:pPr>
          </w:p>
        </w:tc>
        <w:tc>
          <w:tcPr>
            <w:tcW w:w="7146" w:type="dxa"/>
            <w:gridSpan w:val="2"/>
          </w:tcPr>
          <w:p w14:paraId="76828AC4" w14:textId="2B305F4F" w:rsidR="00C104A8" w:rsidRDefault="00C104A8" w:rsidP="00C104A8">
            <w:pPr>
              <w:pStyle w:val="TableBlock"/>
            </w:pPr>
            <w:r>
              <w:rPr>
                <w:rFonts w:hint="cs"/>
                <w:rtl/>
              </w:rPr>
              <w:t>(1)</w:t>
            </w:r>
            <w:r>
              <w:rPr>
                <w:rtl/>
              </w:rPr>
              <w:tab/>
            </w:r>
            <w:r>
              <w:rPr>
                <w:rFonts w:hint="cs"/>
                <w:rtl/>
              </w:rPr>
              <w:t>במקום "בפסקאות (1) או (2)" יבוא "בפסקאות (1) עד (3)";</w:t>
            </w:r>
          </w:p>
        </w:tc>
      </w:tr>
      <w:tr w:rsidR="00C104A8" w14:paraId="3813CE35" w14:textId="77777777" w:rsidTr="00073B08">
        <w:trPr>
          <w:cantSplit/>
          <w:trHeight w:val="60"/>
        </w:trPr>
        <w:tc>
          <w:tcPr>
            <w:tcW w:w="1871" w:type="dxa"/>
          </w:tcPr>
          <w:p w14:paraId="142A82F6" w14:textId="77777777" w:rsidR="00C104A8" w:rsidRDefault="00C104A8">
            <w:pPr>
              <w:pStyle w:val="TableSideHeading"/>
            </w:pPr>
          </w:p>
        </w:tc>
        <w:tc>
          <w:tcPr>
            <w:tcW w:w="624" w:type="dxa"/>
          </w:tcPr>
          <w:p w14:paraId="3DEED555" w14:textId="77777777" w:rsidR="00C104A8" w:rsidRDefault="00C104A8" w:rsidP="003F72D5">
            <w:pPr>
              <w:pStyle w:val="TableText"/>
            </w:pPr>
          </w:p>
        </w:tc>
        <w:tc>
          <w:tcPr>
            <w:tcW w:w="7146" w:type="dxa"/>
            <w:gridSpan w:val="2"/>
          </w:tcPr>
          <w:p w14:paraId="1FBD312A" w14:textId="6830293F" w:rsidR="00C104A8" w:rsidRDefault="00C104A8">
            <w:pPr>
              <w:pStyle w:val="TableBlock"/>
            </w:pPr>
            <w:r>
              <w:rPr>
                <w:rFonts w:hint="cs"/>
                <w:rtl/>
              </w:rPr>
              <w:t>(2)</w:t>
            </w:r>
            <w:r>
              <w:rPr>
                <w:rtl/>
              </w:rPr>
              <w:tab/>
            </w:r>
            <w:r>
              <w:rPr>
                <w:rFonts w:hint="cs"/>
                <w:rtl/>
              </w:rPr>
              <w:t>אחרי פסקה (2) יבוא:</w:t>
            </w:r>
          </w:p>
        </w:tc>
      </w:tr>
      <w:tr w:rsidR="00C104A8" w14:paraId="1EE127AF" w14:textId="77777777" w:rsidTr="007D5643">
        <w:trPr>
          <w:cantSplit/>
          <w:trHeight w:val="60"/>
        </w:trPr>
        <w:tc>
          <w:tcPr>
            <w:tcW w:w="1871" w:type="dxa"/>
          </w:tcPr>
          <w:p w14:paraId="1AAB3426" w14:textId="77777777" w:rsidR="00C104A8" w:rsidRDefault="00C104A8">
            <w:pPr>
              <w:pStyle w:val="TableSideHeading"/>
            </w:pPr>
          </w:p>
        </w:tc>
        <w:tc>
          <w:tcPr>
            <w:tcW w:w="624" w:type="dxa"/>
          </w:tcPr>
          <w:p w14:paraId="34FC5C9D" w14:textId="77777777" w:rsidR="00C104A8" w:rsidRDefault="00C104A8">
            <w:pPr>
              <w:pStyle w:val="TableText"/>
            </w:pPr>
          </w:p>
        </w:tc>
        <w:tc>
          <w:tcPr>
            <w:tcW w:w="624" w:type="dxa"/>
          </w:tcPr>
          <w:p w14:paraId="5079BF76" w14:textId="77777777" w:rsidR="00C104A8" w:rsidRDefault="00C104A8">
            <w:pPr>
              <w:pStyle w:val="TableText"/>
            </w:pPr>
          </w:p>
        </w:tc>
        <w:tc>
          <w:tcPr>
            <w:tcW w:w="6522" w:type="dxa"/>
          </w:tcPr>
          <w:p w14:paraId="119BBE53" w14:textId="440B1BA4" w:rsidR="00C104A8" w:rsidRDefault="00C104A8" w:rsidP="002A7AD4">
            <w:pPr>
              <w:pStyle w:val="TableBlock"/>
            </w:pPr>
            <w:r>
              <w:rPr>
                <w:rFonts w:hint="cs"/>
                <w:rtl/>
              </w:rPr>
              <w:t>"(3)</w:t>
            </w:r>
            <w:r>
              <w:rPr>
                <w:rtl/>
              </w:rPr>
              <w:tab/>
            </w:r>
            <w:r>
              <w:rPr>
                <w:rFonts w:hint="cs"/>
                <w:rtl/>
              </w:rPr>
              <w:t xml:space="preserve">הוא סוכן נסיעות </w:t>
            </w:r>
            <w:r>
              <w:rPr>
                <w:rFonts w:hint="eastAsia"/>
                <w:rtl/>
              </w:rPr>
              <w:t>–</w:t>
            </w:r>
            <w:r>
              <w:rPr>
                <w:rFonts w:hint="cs"/>
                <w:rtl/>
              </w:rPr>
              <w:t xml:space="preserve"> ובלבד שהעיסוק בתיווך הוא במכירה או בשיווק של מוצר מסוג ביטוח נסיעות לחו"ל."</w:t>
            </w:r>
          </w:p>
        </w:tc>
      </w:tr>
    </w:tbl>
    <w:p w14:paraId="7F6961CA" w14:textId="77777777" w:rsidR="002D1EE3" w:rsidRDefault="002D1EE3" w:rsidP="002D1EE3">
      <w:pPr>
        <w:pStyle w:val="HeadDivreiHesber"/>
        <w:rPr>
          <w:rtl/>
        </w:rPr>
      </w:pPr>
      <w:r w:rsidRPr="0027450A">
        <w:rPr>
          <w:rFonts w:hint="cs"/>
          <w:rtl/>
        </w:rPr>
        <w:t>דברי הסבר</w:t>
      </w:r>
    </w:p>
    <w:p w14:paraId="5DA66310" w14:textId="4935AA4C" w:rsidR="00D90739" w:rsidRDefault="00D90739" w:rsidP="002C1BB8">
      <w:pPr>
        <w:pStyle w:val="m253505781925939967msolistparagraph"/>
        <w:shd w:val="clear" w:color="auto" w:fill="FFFFFF"/>
        <w:bidi/>
        <w:spacing w:before="0" w:beforeAutospacing="0" w:after="0" w:afterAutospacing="0" w:line="360" w:lineRule="auto"/>
        <w:ind w:firstLine="720"/>
        <w:contextualSpacing/>
        <w:jc w:val="both"/>
        <w:rPr>
          <w:rFonts w:ascii="David" w:hAnsi="David" w:cs="David"/>
          <w:color w:val="222222"/>
          <w:sz w:val="26"/>
          <w:szCs w:val="26"/>
          <w:rtl/>
        </w:rPr>
      </w:pPr>
      <w:r w:rsidRPr="002D40E2">
        <w:rPr>
          <w:rFonts w:ascii="David" w:hAnsi="David" w:cs="David" w:hint="cs"/>
          <w:color w:val="222222"/>
          <w:sz w:val="26"/>
          <w:szCs w:val="26"/>
          <w:rtl/>
        </w:rPr>
        <w:t>מזה כ</w:t>
      </w:r>
      <w:r w:rsidR="000B2191">
        <w:rPr>
          <w:rFonts w:ascii="David" w:hAnsi="David" w:cs="David" w:hint="cs"/>
          <w:color w:val="222222"/>
          <w:sz w:val="26"/>
          <w:szCs w:val="26"/>
          <w:rtl/>
        </w:rPr>
        <w:t xml:space="preserve">-40 </w:t>
      </w:r>
      <w:r w:rsidRPr="002D40E2">
        <w:rPr>
          <w:rFonts w:ascii="David" w:hAnsi="David" w:cs="David" w:hint="cs"/>
          <w:color w:val="222222"/>
          <w:sz w:val="26"/>
          <w:szCs w:val="26"/>
          <w:rtl/>
        </w:rPr>
        <w:t xml:space="preserve"> </w:t>
      </w:r>
      <w:r w:rsidR="000B2191" w:rsidRPr="002D40E2">
        <w:rPr>
          <w:rFonts w:ascii="David" w:hAnsi="David" w:cs="David" w:hint="cs"/>
          <w:color w:val="222222"/>
          <w:sz w:val="26"/>
          <w:szCs w:val="26"/>
          <w:rtl/>
        </w:rPr>
        <w:t>שנ</w:t>
      </w:r>
      <w:r w:rsidR="000B2191">
        <w:rPr>
          <w:rFonts w:ascii="David" w:hAnsi="David" w:cs="David" w:hint="cs"/>
          <w:color w:val="222222"/>
          <w:sz w:val="26"/>
          <w:szCs w:val="26"/>
          <w:rtl/>
        </w:rPr>
        <w:t>ים</w:t>
      </w:r>
      <w:r w:rsidR="000B2191" w:rsidRPr="002D40E2">
        <w:rPr>
          <w:rFonts w:ascii="David" w:hAnsi="David" w:cs="David" w:hint="cs"/>
          <w:color w:val="222222"/>
          <w:sz w:val="26"/>
          <w:szCs w:val="26"/>
          <w:rtl/>
        </w:rPr>
        <w:t xml:space="preserve"> </w:t>
      </w:r>
      <w:r w:rsidR="000B2191">
        <w:rPr>
          <w:rFonts w:ascii="David" w:hAnsi="David" w:cs="David" w:hint="cs"/>
          <w:color w:val="222222"/>
          <w:sz w:val="26"/>
          <w:szCs w:val="26"/>
          <w:rtl/>
        </w:rPr>
        <w:t xml:space="preserve">נהג </w:t>
      </w:r>
      <w:r w:rsidRPr="002D40E2">
        <w:rPr>
          <w:rFonts w:ascii="David" w:hAnsi="David" w:cs="David" w:hint="cs"/>
          <w:color w:val="222222"/>
          <w:sz w:val="26"/>
          <w:szCs w:val="26"/>
          <w:rtl/>
        </w:rPr>
        <w:t xml:space="preserve">הצרכן הישראלי לרכוש ביטוח נסיעות לחו"ל </w:t>
      </w:r>
      <w:r w:rsidR="000B2191">
        <w:rPr>
          <w:rFonts w:ascii="David" w:hAnsi="David" w:cs="David" w:hint="cs"/>
          <w:color w:val="222222"/>
          <w:sz w:val="26"/>
          <w:szCs w:val="26"/>
          <w:rtl/>
        </w:rPr>
        <w:t xml:space="preserve">במסגרת </w:t>
      </w:r>
      <w:r w:rsidRPr="002D40E2">
        <w:rPr>
          <w:rFonts w:ascii="David" w:hAnsi="David" w:cs="David" w:hint="cs"/>
          <w:color w:val="222222"/>
          <w:sz w:val="26"/>
          <w:szCs w:val="26"/>
          <w:rtl/>
        </w:rPr>
        <w:t>שירות הזמנת הטיול</w:t>
      </w:r>
      <w:r w:rsidR="000B2191">
        <w:rPr>
          <w:rFonts w:ascii="David" w:hAnsi="David" w:cs="David" w:hint="cs"/>
          <w:color w:val="222222"/>
          <w:sz w:val="26"/>
          <w:szCs w:val="26"/>
          <w:rtl/>
        </w:rPr>
        <w:t xml:space="preserve"> או </w:t>
      </w:r>
      <w:r w:rsidRPr="002D40E2">
        <w:rPr>
          <w:rFonts w:ascii="David" w:hAnsi="David" w:cs="David" w:hint="cs"/>
          <w:color w:val="222222"/>
          <w:sz w:val="26"/>
          <w:szCs w:val="26"/>
          <w:rtl/>
        </w:rPr>
        <w:t>החבילה התיירותית</w:t>
      </w:r>
      <w:r w:rsidR="000B2191">
        <w:rPr>
          <w:rFonts w:ascii="David" w:hAnsi="David" w:cs="David" w:hint="cs"/>
          <w:color w:val="222222"/>
          <w:sz w:val="26"/>
          <w:szCs w:val="26"/>
          <w:rtl/>
        </w:rPr>
        <w:t xml:space="preserve"> במשרדי הנסיעות</w:t>
      </w:r>
      <w:r w:rsidRPr="002D40E2">
        <w:rPr>
          <w:rFonts w:ascii="David" w:hAnsi="David" w:cs="David" w:hint="cs"/>
          <w:color w:val="222222"/>
          <w:sz w:val="26"/>
          <w:szCs w:val="26"/>
          <w:rtl/>
        </w:rPr>
        <w:t>. נוהג זה של</w:t>
      </w:r>
      <w:r>
        <w:rPr>
          <w:rFonts w:ascii="David" w:hAnsi="David" w:cs="David" w:hint="cs"/>
          <w:color w:val="222222"/>
          <w:sz w:val="26"/>
          <w:szCs w:val="26"/>
          <w:rtl/>
        </w:rPr>
        <w:t xml:space="preserve"> רכישה תחת קורת גג אחת </w:t>
      </w:r>
      <w:r w:rsidR="000B2191">
        <w:rPr>
          <w:rFonts w:ascii="David" w:hAnsi="David" w:cs="David" w:hint="cs"/>
          <w:color w:val="222222"/>
          <w:sz w:val="26"/>
          <w:szCs w:val="26"/>
          <w:rtl/>
        </w:rPr>
        <w:t xml:space="preserve">הבטיח </w:t>
      </w:r>
      <w:r>
        <w:rPr>
          <w:rFonts w:ascii="David" w:hAnsi="David" w:cs="David" w:hint="cs"/>
          <w:color w:val="222222"/>
          <w:sz w:val="26"/>
          <w:szCs w:val="26"/>
          <w:rtl/>
        </w:rPr>
        <w:t>כי כ</w:t>
      </w:r>
      <w:r w:rsidR="002A7AD4">
        <w:rPr>
          <w:rFonts w:ascii="David" w:hAnsi="David" w:cs="David" w:hint="cs"/>
          <w:color w:val="222222"/>
          <w:sz w:val="26"/>
          <w:szCs w:val="26"/>
          <w:rtl/>
        </w:rPr>
        <w:t xml:space="preserve">מעט כל צרכן </w:t>
      </w:r>
      <w:r w:rsidRPr="002D40E2">
        <w:rPr>
          <w:rFonts w:ascii="David" w:hAnsi="David" w:cs="David" w:hint="cs"/>
          <w:color w:val="222222"/>
          <w:sz w:val="26"/>
          <w:szCs w:val="26"/>
          <w:rtl/>
        </w:rPr>
        <w:t xml:space="preserve">יצא את גבולות הארץ עם כיסוי ביטוחי שהולם את צרכיו ואת אופי הטיול </w:t>
      </w:r>
      <w:r w:rsidR="009A1319">
        <w:rPr>
          <w:rFonts w:ascii="David" w:hAnsi="David" w:cs="David" w:hint="cs"/>
          <w:color w:val="222222"/>
          <w:sz w:val="26"/>
          <w:szCs w:val="26"/>
          <w:rtl/>
        </w:rPr>
        <w:t>ש</w:t>
      </w:r>
      <w:r w:rsidRPr="002D40E2">
        <w:rPr>
          <w:rFonts w:ascii="David" w:hAnsi="David" w:cs="David" w:hint="cs"/>
          <w:color w:val="222222"/>
          <w:sz w:val="26"/>
          <w:szCs w:val="26"/>
          <w:rtl/>
        </w:rPr>
        <w:t>אליו הוא יוצא</w:t>
      </w:r>
      <w:r w:rsidR="000B2191">
        <w:rPr>
          <w:rFonts w:ascii="David" w:hAnsi="David" w:cs="David" w:hint="cs"/>
          <w:color w:val="222222"/>
          <w:sz w:val="26"/>
          <w:szCs w:val="26"/>
          <w:rtl/>
        </w:rPr>
        <w:t>. הזמנה של מוצרי ושירותי נסיעה תחת קורת גג אחת</w:t>
      </w:r>
      <w:r w:rsidRPr="002D40E2">
        <w:rPr>
          <w:rFonts w:ascii="David" w:hAnsi="David" w:cs="David" w:hint="cs"/>
          <w:color w:val="222222"/>
          <w:sz w:val="26"/>
          <w:szCs w:val="26"/>
          <w:rtl/>
        </w:rPr>
        <w:t xml:space="preserve"> מייעל</w:t>
      </w:r>
      <w:r w:rsidR="000B2191">
        <w:rPr>
          <w:rFonts w:ascii="David" w:hAnsi="David" w:cs="David" w:hint="cs"/>
          <w:color w:val="222222"/>
          <w:sz w:val="26"/>
          <w:szCs w:val="26"/>
          <w:rtl/>
        </w:rPr>
        <w:t>ת</w:t>
      </w:r>
      <w:r w:rsidRPr="002D40E2">
        <w:rPr>
          <w:rFonts w:ascii="David" w:hAnsi="David" w:cs="David" w:hint="cs"/>
          <w:color w:val="222222"/>
          <w:sz w:val="26"/>
          <w:szCs w:val="26"/>
          <w:rtl/>
        </w:rPr>
        <w:t xml:space="preserve"> ומפשט</w:t>
      </w:r>
      <w:r w:rsidR="000B2191">
        <w:rPr>
          <w:rFonts w:ascii="David" w:hAnsi="David" w:cs="David" w:hint="cs"/>
          <w:color w:val="222222"/>
          <w:sz w:val="26"/>
          <w:szCs w:val="26"/>
          <w:rtl/>
        </w:rPr>
        <w:t>ת</w:t>
      </w:r>
      <w:r w:rsidRPr="002D40E2">
        <w:rPr>
          <w:rFonts w:ascii="David" w:hAnsi="David" w:cs="David" w:hint="cs"/>
          <w:color w:val="222222"/>
          <w:sz w:val="26"/>
          <w:szCs w:val="26"/>
          <w:rtl/>
        </w:rPr>
        <w:t xml:space="preserve"> עבור הצרכן את הזמנת הטיול על כל מרכיביה</w:t>
      </w:r>
      <w:r w:rsidR="002A7AD4">
        <w:rPr>
          <w:rFonts w:ascii="David" w:hAnsi="David" w:cs="David" w:hint="cs"/>
          <w:color w:val="222222"/>
          <w:sz w:val="26"/>
          <w:szCs w:val="26"/>
          <w:rtl/>
        </w:rPr>
        <w:t>,</w:t>
      </w:r>
      <w:r w:rsidRPr="002D40E2">
        <w:rPr>
          <w:rFonts w:ascii="David" w:hAnsi="David" w:cs="David" w:hint="cs"/>
          <w:color w:val="222222"/>
          <w:sz w:val="26"/>
          <w:szCs w:val="26"/>
          <w:rtl/>
        </w:rPr>
        <w:t xml:space="preserve"> ומונע</w:t>
      </w:r>
      <w:r w:rsidR="000B2191">
        <w:rPr>
          <w:rFonts w:ascii="David" w:hAnsi="David" w:cs="David" w:hint="cs"/>
          <w:color w:val="222222"/>
          <w:sz w:val="26"/>
          <w:szCs w:val="26"/>
          <w:rtl/>
        </w:rPr>
        <w:t>ת את</w:t>
      </w:r>
      <w:r w:rsidRPr="002D40E2">
        <w:rPr>
          <w:rFonts w:ascii="David" w:hAnsi="David" w:cs="David" w:hint="cs"/>
          <w:color w:val="222222"/>
          <w:sz w:val="26"/>
          <w:szCs w:val="26"/>
          <w:rtl/>
        </w:rPr>
        <w:t xml:space="preserve"> יציא</w:t>
      </w:r>
      <w:r w:rsidR="000B2191">
        <w:rPr>
          <w:rFonts w:ascii="David" w:hAnsi="David" w:cs="David" w:hint="cs"/>
          <w:color w:val="222222"/>
          <w:sz w:val="26"/>
          <w:szCs w:val="26"/>
          <w:rtl/>
        </w:rPr>
        <w:t>ה של</w:t>
      </w:r>
      <w:r w:rsidRPr="002D40E2">
        <w:rPr>
          <w:rFonts w:ascii="David" w:hAnsi="David" w:cs="David" w:hint="cs"/>
          <w:color w:val="222222"/>
          <w:sz w:val="26"/>
          <w:szCs w:val="26"/>
          <w:rtl/>
        </w:rPr>
        <w:t xml:space="preserve"> ישראלים לחו"ל ללא כיסוי רפואי. </w:t>
      </w:r>
    </w:p>
    <w:p w14:paraId="0E54F9C7" w14:textId="309ADE61" w:rsidR="00D90739" w:rsidRPr="00A21E2D" w:rsidRDefault="007A460A" w:rsidP="009A1319">
      <w:pPr>
        <w:pStyle w:val="m253505781925939967msolistparagraph"/>
        <w:shd w:val="clear" w:color="auto" w:fill="FFFFFF"/>
        <w:bidi/>
        <w:spacing w:before="0" w:beforeAutospacing="0" w:after="0" w:afterAutospacing="0" w:line="360" w:lineRule="auto"/>
        <w:ind w:firstLine="720"/>
        <w:contextualSpacing/>
        <w:jc w:val="both"/>
        <w:rPr>
          <w:rFonts w:ascii="David" w:hAnsi="David" w:cs="David"/>
          <w:color w:val="222222"/>
          <w:sz w:val="26"/>
          <w:szCs w:val="26"/>
          <w:rtl/>
        </w:rPr>
      </w:pPr>
      <w:r>
        <w:rPr>
          <w:rFonts w:ascii="David" w:hAnsi="David" w:cs="David" w:hint="cs"/>
          <w:color w:val="222222"/>
          <w:sz w:val="26"/>
          <w:szCs w:val="26"/>
          <w:rtl/>
        </w:rPr>
        <w:t>בחוזר סוכנים ויועצים</w:t>
      </w:r>
      <w:r w:rsidR="00294EA3">
        <w:rPr>
          <w:rFonts w:ascii="David" w:hAnsi="David" w:cs="David" w:hint="cs"/>
          <w:color w:val="222222"/>
          <w:sz w:val="26"/>
          <w:szCs w:val="26"/>
          <w:rtl/>
        </w:rPr>
        <w:t xml:space="preserve"> שפורסם בינואר 2017,</w:t>
      </w:r>
      <w:r>
        <w:rPr>
          <w:rFonts w:ascii="David" w:hAnsi="David" w:cs="David" w:hint="cs"/>
          <w:color w:val="222222"/>
          <w:sz w:val="26"/>
          <w:szCs w:val="26"/>
          <w:rtl/>
        </w:rPr>
        <w:t xml:space="preserve"> קבעה המ</w:t>
      </w:r>
      <w:r w:rsidR="005C2647">
        <w:rPr>
          <w:rFonts w:ascii="David" w:hAnsi="David" w:cs="David" w:hint="cs"/>
          <w:color w:val="222222"/>
          <w:sz w:val="26"/>
          <w:szCs w:val="26"/>
          <w:rtl/>
        </w:rPr>
        <w:t xml:space="preserve">מונה על </w:t>
      </w:r>
      <w:r>
        <w:rPr>
          <w:rFonts w:ascii="David" w:hAnsi="David" w:cs="David" w:hint="cs"/>
          <w:color w:val="222222"/>
          <w:sz w:val="26"/>
          <w:szCs w:val="26"/>
          <w:rtl/>
        </w:rPr>
        <w:t xml:space="preserve">שוק ההון ביטוח וחיסכון, בין היתר, כי </w:t>
      </w:r>
      <w:r w:rsidR="00294EA3">
        <w:rPr>
          <w:rFonts w:ascii="David" w:hAnsi="David" w:cs="David" w:hint="cs"/>
          <w:color w:val="222222"/>
          <w:sz w:val="26"/>
          <w:szCs w:val="26"/>
          <w:rtl/>
        </w:rPr>
        <w:t>מכירת מוצר ב</w:t>
      </w:r>
      <w:r w:rsidR="00646FEC">
        <w:rPr>
          <w:rFonts w:ascii="David" w:hAnsi="David" w:cs="David" w:hint="cs"/>
          <w:color w:val="222222"/>
          <w:sz w:val="26"/>
          <w:szCs w:val="26"/>
          <w:rtl/>
        </w:rPr>
        <w:t>יטוח ת</w:t>
      </w:r>
      <w:r w:rsidR="00294EA3">
        <w:rPr>
          <w:rFonts w:ascii="David" w:hAnsi="David" w:cs="David" w:hint="cs"/>
          <w:color w:val="222222"/>
          <w:sz w:val="26"/>
          <w:szCs w:val="26"/>
          <w:rtl/>
        </w:rPr>
        <w:t>יעשה על ידי גוף מפוקח. מאחר ו</w:t>
      </w:r>
      <w:r w:rsidR="00D90739" w:rsidRPr="002D40E2">
        <w:rPr>
          <w:rFonts w:ascii="David" w:hAnsi="David" w:cs="David"/>
          <w:color w:val="222222"/>
          <w:sz w:val="26"/>
          <w:szCs w:val="26"/>
          <w:rtl/>
        </w:rPr>
        <w:t>סוכני הנסיעות</w:t>
      </w:r>
      <w:r w:rsidR="009A1319">
        <w:rPr>
          <w:rFonts w:ascii="David" w:hAnsi="David" w:cs="David" w:hint="cs"/>
          <w:color w:val="222222"/>
          <w:sz w:val="26"/>
          <w:szCs w:val="26"/>
          <w:rtl/>
        </w:rPr>
        <w:t xml:space="preserve"> </w:t>
      </w:r>
      <w:r w:rsidR="00646FEC">
        <w:rPr>
          <w:rFonts w:ascii="David" w:hAnsi="David" w:cs="David" w:hint="cs"/>
          <w:color w:val="222222"/>
          <w:sz w:val="26"/>
          <w:szCs w:val="26"/>
          <w:rtl/>
        </w:rPr>
        <w:t>אינם נמנים על הגופים המפוקחים לפי חוק הפיקוח על שירותים פיננסיים (ביטוח), התשמ"א</w:t>
      </w:r>
      <w:r w:rsidR="00646FEC">
        <w:rPr>
          <w:rFonts w:ascii="David" w:hAnsi="David" w:cs="David" w:hint="eastAsia"/>
          <w:color w:val="222222"/>
          <w:sz w:val="26"/>
          <w:szCs w:val="26"/>
          <w:rtl/>
        </w:rPr>
        <w:t>–1981</w:t>
      </w:r>
      <w:r w:rsidR="00646FEC">
        <w:rPr>
          <w:rFonts w:ascii="David" w:hAnsi="David" w:cs="David" w:hint="cs"/>
          <w:color w:val="222222"/>
          <w:sz w:val="26"/>
          <w:szCs w:val="26"/>
          <w:rtl/>
        </w:rPr>
        <w:t>,</w:t>
      </w:r>
      <w:r w:rsidR="00D90739" w:rsidRPr="002D40E2">
        <w:rPr>
          <w:rFonts w:ascii="David" w:hAnsi="David" w:cs="David"/>
          <w:color w:val="222222"/>
          <w:sz w:val="26"/>
          <w:szCs w:val="26"/>
          <w:rtl/>
        </w:rPr>
        <w:t xml:space="preserve"> </w:t>
      </w:r>
      <w:r w:rsidR="00646FEC">
        <w:rPr>
          <w:rFonts w:ascii="David" w:hAnsi="David" w:cs="David" w:hint="cs"/>
          <w:color w:val="222222"/>
          <w:sz w:val="26"/>
          <w:szCs w:val="26"/>
          <w:rtl/>
        </w:rPr>
        <w:t xml:space="preserve">הם אינם רשאים להציע ביטוח נסיעות לחו"ל. </w:t>
      </w:r>
      <w:r w:rsidR="00D90739" w:rsidRPr="00A21E2D">
        <w:rPr>
          <w:rFonts w:ascii="David" w:hAnsi="David" w:cs="David"/>
          <w:color w:val="222222"/>
          <w:sz w:val="26"/>
          <w:szCs w:val="26"/>
          <w:rtl/>
        </w:rPr>
        <w:t xml:space="preserve">אשר </w:t>
      </w:r>
      <w:r w:rsidR="00D90739">
        <w:rPr>
          <w:rFonts w:ascii="David" w:hAnsi="David" w:cs="David"/>
          <w:color w:val="222222"/>
          <w:sz w:val="26"/>
          <w:szCs w:val="26"/>
          <w:rtl/>
        </w:rPr>
        <w:t>על כן</w:t>
      </w:r>
      <w:r w:rsidR="00D90739">
        <w:rPr>
          <w:rFonts w:ascii="David" w:hAnsi="David" w:cs="David" w:hint="cs"/>
          <w:color w:val="222222"/>
          <w:sz w:val="26"/>
          <w:szCs w:val="26"/>
          <w:rtl/>
        </w:rPr>
        <w:t xml:space="preserve">, </w:t>
      </w:r>
      <w:r w:rsidR="002A7AD4">
        <w:rPr>
          <w:rFonts w:ascii="David" w:hAnsi="David" w:cs="David" w:hint="cs"/>
          <w:color w:val="222222"/>
          <w:sz w:val="26"/>
          <w:szCs w:val="26"/>
          <w:rtl/>
        </w:rPr>
        <w:t>ו</w:t>
      </w:r>
      <w:r w:rsidR="00646FEC">
        <w:rPr>
          <w:rFonts w:ascii="David" w:hAnsi="David" w:cs="David" w:hint="cs"/>
          <w:color w:val="222222"/>
          <w:sz w:val="26"/>
          <w:szCs w:val="26"/>
          <w:rtl/>
        </w:rPr>
        <w:t>כדי לאפשר לצרכנים</w:t>
      </w:r>
      <w:r w:rsidR="00D90739" w:rsidRPr="00A21E2D">
        <w:rPr>
          <w:rFonts w:ascii="David" w:hAnsi="David" w:cs="David"/>
          <w:color w:val="222222"/>
          <w:sz w:val="26"/>
          <w:szCs w:val="26"/>
          <w:rtl/>
        </w:rPr>
        <w:t xml:space="preserve"> להמשיך ול</w:t>
      </w:r>
      <w:r w:rsidR="00646FEC">
        <w:rPr>
          <w:rFonts w:ascii="David" w:hAnsi="David" w:cs="David" w:hint="cs"/>
          <w:color w:val="222222"/>
          <w:sz w:val="26"/>
          <w:szCs w:val="26"/>
          <w:rtl/>
        </w:rPr>
        <w:t xml:space="preserve">רכוש </w:t>
      </w:r>
      <w:r w:rsidR="00D90739" w:rsidRPr="00A21E2D">
        <w:rPr>
          <w:rFonts w:ascii="David" w:hAnsi="David" w:cs="David"/>
          <w:color w:val="222222"/>
          <w:sz w:val="26"/>
          <w:szCs w:val="26"/>
          <w:rtl/>
        </w:rPr>
        <w:t xml:space="preserve">ביטוח נסיעות לחו"ל </w:t>
      </w:r>
      <w:r w:rsidR="00646FEC">
        <w:rPr>
          <w:rFonts w:ascii="David" w:hAnsi="David" w:cs="David" w:hint="cs"/>
          <w:color w:val="222222"/>
          <w:sz w:val="26"/>
          <w:szCs w:val="26"/>
          <w:rtl/>
        </w:rPr>
        <w:t>יחד עם הזמנת טיול או רכישת חבילה תיירותית כדי לעודד רכישת כיסוי ביטוחי לנסיעות מחוץ</w:t>
      </w:r>
      <w:r w:rsidR="00D90739" w:rsidRPr="00A21E2D">
        <w:rPr>
          <w:rFonts w:ascii="David" w:hAnsi="David" w:cs="David"/>
          <w:color w:val="222222"/>
          <w:sz w:val="26"/>
          <w:szCs w:val="26"/>
          <w:rtl/>
        </w:rPr>
        <w:t xml:space="preserve"> </w:t>
      </w:r>
      <w:r w:rsidR="00646FEC">
        <w:rPr>
          <w:rFonts w:ascii="David" w:hAnsi="David" w:cs="David" w:hint="cs"/>
          <w:color w:val="222222"/>
          <w:sz w:val="26"/>
          <w:szCs w:val="26"/>
          <w:rtl/>
        </w:rPr>
        <w:t>ל</w:t>
      </w:r>
      <w:r w:rsidR="00D90739" w:rsidRPr="00A21E2D">
        <w:rPr>
          <w:rFonts w:ascii="David" w:hAnsi="David" w:cs="David"/>
          <w:color w:val="222222"/>
          <w:sz w:val="26"/>
          <w:szCs w:val="26"/>
          <w:rtl/>
        </w:rPr>
        <w:t>גבולות הארץ</w:t>
      </w:r>
      <w:r w:rsidR="00646FEC">
        <w:rPr>
          <w:rFonts w:ascii="David" w:hAnsi="David" w:cs="David" w:hint="cs"/>
          <w:color w:val="222222"/>
          <w:sz w:val="26"/>
          <w:szCs w:val="26"/>
          <w:rtl/>
        </w:rPr>
        <w:t>,</w:t>
      </w:r>
      <w:r w:rsidR="00D90739" w:rsidRPr="00A21E2D">
        <w:rPr>
          <w:rFonts w:ascii="David" w:hAnsi="David" w:cs="David"/>
          <w:color w:val="222222"/>
          <w:sz w:val="26"/>
          <w:szCs w:val="26"/>
          <w:rtl/>
        </w:rPr>
        <w:t xml:space="preserve"> מוצע </w:t>
      </w:r>
      <w:r w:rsidR="00D90739">
        <w:rPr>
          <w:rFonts w:ascii="David" w:hAnsi="David" w:cs="David" w:hint="cs"/>
          <w:color w:val="222222"/>
          <w:sz w:val="26"/>
          <w:szCs w:val="26"/>
          <w:rtl/>
        </w:rPr>
        <w:t xml:space="preserve">לקבוע </w:t>
      </w:r>
      <w:r w:rsidR="00646FEC">
        <w:rPr>
          <w:rFonts w:ascii="David" w:hAnsi="David" w:cs="David" w:hint="cs"/>
          <w:color w:val="222222"/>
          <w:sz w:val="26"/>
          <w:szCs w:val="26"/>
          <w:rtl/>
        </w:rPr>
        <w:t xml:space="preserve">כי סוכן נסיעות </w:t>
      </w:r>
      <w:r w:rsidR="00646FEC" w:rsidRPr="002C1BB8">
        <w:rPr>
          <w:rFonts w:ascii="David" w:hAnsi="David" w:cs="David" w:hint="eastAsia"/>
          <w:color w:val="222222"/>
          <w:sz w:val="26"/>
          <w:szCs w:val="26"/>
          <w:rtl/>
        </w:rPr>
        <w:t>שקיבל</w:t>
      </w:r>
      <w:r w:rsidR="00646FEC" w:rsidRPr="002C1BB8">
        <w:rPr>
          <w:rFonts w:ascii="David" w:hAnsi="David" w:cs="David"/>
          <w:color w:val="222222"/>
          <w:sz w:val="26"/>
          <w:szCs w:val="26"/>
          <w:rtl/>
        </w:rPr>
        <w:t xml:space="preserve"> </w:t>
      </w:r>
      <w:r w:rsidR="00646FEC" w:rsidRPr="002C1BB8">
        <w:rPr>
          <w:rFonts w:ascii="David" w:hAnsi="David" w:cs="David" w:hint="eastAsia"/>
          <w:color w:val="222222"/>
          <w:sz w:val="26"/>
          <w:szCs w:val="26"/>
          <w:rtl/>
        </w:rPr>
        <w:t>היתר</w:t>
      </w:r>
      <w:r w:rsidR="00646FEC" w:rsidRPr="002C1BB8">
        <w:rPr>
          <w:rFonts w:ascii="David" w:hAnsi="David" w:cs="David"/>
          <w:color w:val="222222"/>
          <w:sz w:val="26"/>
          <w:szCs w:val="26"/>
          <w:rtl/>
        </w:rPr>
        <w:t xml:space="preserve"> </w:t>
      </w:r>
      <w:r w:rsidR="00646FEC" w:rsidRPr="002C1BB8">
        <w:rPr>
          <w:rFonts w:ascii="David" w:hAnsi="David" w:cs="David" w:hint="eastAsia"/>
          <w:color w:val="222222"/>
          <w:sz w:val="26"/>
          <w:szCs w:val="26"/>
          <w:rtl/>
        </w:rPr>
        <w:t>לשיווק</w:t>
      </w:r>
      <w:r w:rsidR="00646FEC" w:rsidRPr="002C1BB8">
        <w:rPr>
          <w:rFonts w:ascii="David" w:hAnsi="David" w:cs="David"/>
          <w:color w:val="222222"/>
          <w:sz w:val="26"/>
          <w:szCs w:val="26"/>
          <w:rtl/>
        </w:rPr>
        <w:t xml:space="preserve"> </w:t>
      </w:r>
      <w:r w:rsidR="00646FEC" w:rsidRPr="002C1BB8">
        <w:rPr>
          <w:rFonts w:ascii="David" w:hAnsi="David" w:cs="David" w:hint="eastAsia"/>
          <w:color w:val="222222"/>
          <w:sz w:val="26"/>
          <w:szCs w:val="26"/>
          <w:rtl/>
        </w:rPr>
        <w:t>ומכירה</w:t>
      </w:r>
      <w:r w:rsidR="00646FEC" w:rsidRPr="002C1BB8">
        <w:rPr>
          <w:rFonts w:ascii="David" w:hAnsi="David" w:cs="David"/>
          <w:color w:val="222222"/>
          <w:sz w:val="26"/>
          <w:szCs w:val="26"/>
          <w:rtl/>
        </w:rPr>
        <w:t xml:space="preserve"> </w:t>
      </w:r>
      <w:r w:rsidR="00646FEC" w:rsidRPr="002C1BB8">
        <w:rPr>
          <w:rFonts w:ascii="David" w:hAnsi="David" w:cs="David" w:hint="eastAsia"/>
          <w:color w:val="222222"/>
          <w:sz w:val="26"/>
          <w:szCs w:val="26"/>
          <w:rtl/>
        </w:rPr>
        <w:t>של</w:t>
      </w:r>
      <w:r w:rsidR="00646FEC" w:rsidRPr="002C1BB8">
        <w:rPr>
          <w:rFonts w:ascii="David" w:hAnsi="David" w:cs="David"/>
          <w:color w:val="222222"/>
          <w:sz w:val="26"/>
          <w:szCs w:val="26"/>
          <w:rtl/>
        </w:rPr>
        <w:t xml:space="preserve"> </w:t>
      </w:r>
      <w:r w:rsidR="00646FEC" w:rsidRPr="002C1BB8">
        <w:rPr>
          <w:rFonts w:ascii="David" w:hAnsi="David" w:cs="David" w:hint="eastAsia"/>
          <w:color w:val="222222"/>
          <w:sz w:val="26"/>
          <w:szCs w:val="26"/>
          <w:rtl/>
        </w:rPr>
        <w:t>ביטוח</w:t>
      </w:r>
      <w:r w:rsidR="00646FEC" w:rsidRPr="002C1BB8">
        <w:rPr>
          <w:rFonts w:ascii="David" w:hAnsi="David" w:cs="David"/>
          <w:color w:val="222222"/>
          <w:sz w:val="26"/>
          <w:szCs w:val="26"/>
          <w:rtl/>
        </w:rPr>
        <w:t xml:space="preserve"> </w:t>
      </w:r>
      <w:r w:rsidR="00646FEC" w:rsidRPr="002C1BB8">
        <w:rPr>
          <w:rFonts w:ascii="David" w:hAnsi="David" w:cs="David" w:hint="eastAsia"/>
          <w:color w:val="222222"/>
          <w:sz w:val="26"/>
          <w:szCs w:val="26"/>
          <w:rtl/>
        </w:rPr>
        <w:t>נסיעות</w:t>
      </w:r>
      <w:r w:rsidR="00646FEC" w:rsidRPr="002C1BB8">
        <w:rPr>
          <w:rFonts w:ascii="David" w:hAnsi="David" w:cs="David"/>
          <w:color w:val="222222"/>
          <w:sz w:val="26"/>
          <w:szCs w:val="26"/>
          <w:rtl/>
        </w:rPr>
        <w:t xml:space="preserve"> </w:t>
      </w:r>
      <w:r w:rsidR="00646FEC" w:rsidRPr="002C1BB8">
        <w:rPr>
          <w:rFonts w:ascii="David" w:hAnsi="David" w:cs="David" w:hint="eastAsia"/>
          <w:color w:val="222222"/>
          <w:sz w:val="26"/>
          <w:szCs w:val="26"/>
          <w:rtl/>
        </w:rPr>
        <w:t>לחו</w:t>
      </w:r>
      <w:r w:rsidR="00646FEC" w:rsidRPr="002C1BB8">
        <w:rPr>
          <w:rFonts w:ascii="David" w:hAnsi="David" w:cs="David"/>
          <w:color w:val="222222"/>
          <w:sz w:val="26"/>
          <w:szCs w:val="26"/>
          <w:rtl/>
        </w:rPr>
        <w:t xml:space="preserve">"ל </w:t>
      </w:r>
      <w:r w:rsidR="00646FEC" w:rsidRPr="002C1BB8">
        <w:rPr>
          <w:rFonts w:ascii="David" w:hAnsi="David" w:cs="David" w:hint="eastAsia"/>
          <w:color w:val="222222"/>
          <w:sz w:val="26"/>
          <w:szCs w:val="26"/>
          <w:rtl/>
        </w:rPr>
        <w:t>מטעם</w:t>
      </w:r>
      <w:r w:rsidR="00646FEC" w:rsidRPr="002C1BB8">
        <w:rPr>
          <w:rFonts w:ascii="David" w:hAnsi="David" w:cs="David"/>
          <w:color w:val="222222"/>
          <w:sz w:val="26"/>
          <w:szCs w:val="26"/>
          <w:rtl/>
        </w:rPr>
        <w:t xml:space="preserve"> </w:t>
      </w:r>
      <w:r w:rsidR="00646FEC" w:rsidRPr="002C1BB8">
        <w:rPr>
          <w:rFonts w:ascii="David" w:hAnsi="David" w:cs="David" w:hint="eastAsia"/>
          <w:color w:val="222222"/>
          <w:sz w:val="26"/>
          <w:szCs w:val="26"/>
          <w:rtl/>
        </w:rPr>
        <w:t>התאחדות</w:t>
      </w:r>
      <w:r w:rsidR="00646FEC" w:rsidRPr="002C1BB8">
        <w:rPr>
          <w:rFonts w:ascii="David" w:hAnsi="David" w:cs="David"/>
          <w:color w:val="222222"/>
          <w:sz w:val="26"/>
          <w:szCs w:val="26"/>
          <w:rtl/>
        </w:rPr>
        <w:t xml:space="preserve"> </w:t>
      </w:r>
      <w:r w:rsidR="00646FEC" w:rsidRPr="002C1BB8">
        <w:rPr>
          <w:rFonts w:ascii="David" w:hAnsi="David" w:cs="David" w:hint="eastAsia"/>
          <w:color w:val="222222"/>
          <w:sz w:val="26"/>
          <w:szCs w:val="26"/>
          <w:rtl/>
        </w:rPr>
        <w:t>משרדי</w:t>
      </w:r>
      <w:r w:rsidR="00646FEC" w:rsidRPr="002C1BB8">
        <w:rPr>
          <w:rFonts w:ascii="David" w:hAnsi="David" w:cs="David"/>
          <w:color w:val="222222"/>
          <w:sz w:val="26"/>
          <w:szCs w:val="26"/>
          <w:rtl/>
        </w:rPr>
        <w:t xml:space="preserve"> </w:t>
      </w:r>
      <w:r w:rsidR="00646FEC" w:rsidRPr="002C1BB8">
        <w:rPr>
          <w:rFonts w:ascii="David" w:hAnsi="David" w:cs="David" w:hint="eastAsia"/>
          <w:color w:val="222222"/>
          <w:sz w:val="26"/>
          <w:szCs w:val="26"/>
          <w:rtl/>
        </w:rPr>
        <w:t>הנסיעות</w:t>
      </w:r>
      <w:r w:rsidR="00646FEC" w:rsidRPr="002C1BB8">
        <w:rPr>
          <w:rFonts w:ascii="David" w:hAnsi="David" w:cs="David"/>
          <w:color w:val="222222"/>
          <w:sz w:val="26"/>
          <w:szCs w:val="26"/>
          <w:rtl/>
        </w:rPr>
        <w:t xml:space="preserve"> </w:t>
      </w:r>
      <w:r w:rsidR="00646FEC" w:rsidRPr="002C1BB8">
        <w:rPr>
          <w:rFonts w:ascii="David" w:hAnsi="David" w:cs="David" w:hint="eastAsia"/>
          <w:color w:val="222222"/>
          <w:sz w:val="26"/>
          <w:szCs w:val="26"/>
          <w:rtl/>
        </w:rPr>
        <w:t>ויועצי</w:t>
      </w:r>
      <w:r w:rsidR="00646FEC" w:rsidRPr="002C1BB8">
        <w:rPr>
          <w:rFonts w:ascii="David" w:hAnsi="David" w:cs="David"/>
          <w:color w:val="222222"/>
          <w:sz w:val="26"/>
          <w:szCs w:val="26"/>
          <w:rtl/>
        </w:rPr>
        <w:t xml:space="preserve"> </w:t>
      </w:r>
      <w:r w:rsidR="00646FEC" w:rsidRPr="002C1BB8">
        <w:rPr>
          <w:rFonts w:ascii="David" w:hAnsi="David" w:cs="David" w:hint="eastAsia"/>
          <w:color w:val="222222"/>
          <w:sz w:val="26"/>
          <w:szCs w:val="26"/>
          <w:rtl/>
        </w:rPr>
        <w:t>התיירות</w:t>
      </w:r>
      <w:r w:rsidR="00646FEC" w:rsidRPr="002C1BB8">
        <w:rPr>
          <w:rFonts w:ascii="David" w:hAnsi="David" w:cs="David"/>
          <w:color w:val="222222"/>
          <w:sz w:val="26"/>
          <w:szCs w:val="26"/>
          <w:rtl/>
        </w:rPr>
        <w:t xml:space="preserve"> </w:t>
      </w:r>
      <w:r w:rsidR="00646FEC" w:rsidRPr="002C1BB8">
        <w:rPr>
          <w:rFonts w:ascii="David" w:hAnsi="David" w:cs="David" w:hint="eastAsia"/>
          <w:color w:val="222222"/>
          <w:sz w:val="26"/>
          <w:szCs w:val="26"/>
          <w:rtl/>
        </w:rPr>
        <w:t>בישראל</w:t>
      </w:r>
      <w:r w:rsidR="00646FEC">
        <w:rPr>
          <w:rFonts w:ascii="David" w:hAnsi="David" w:cs="David" w:hint="cs"/>
          <w:color w:val="222222"/>
          <w:sz w:val="26"/>
          <w:szCs w:val="26"/>
          <w:rtl/>
        </w:rPr>
        <w:t>, יהיה רשאי למכור כיסוי ביטוחי לנוסעים לחו"ל.</w:t>
      </w:r>
    </w:p>
    <w:p w14:paraId="26FEC956" w14:textId="77777777" w:rsidR="004E74F8" w:rsidRPr="00D73212" w:rsidRDefault="004E74F8" w:rsidP="004E74F8">
      <w:pPr>
        <w:pStyle w:val="Hesber"/>
        <w:rPr>
          <w:color w:val="auto"/>
          <w:rtl/>
          <w:lang w:eastAsia="en-US"/>
        </w:rPr>
      </w:pPr>
      <w:r w:rsidRPr="00D73212">
        <w:rPr>
          <w:color w:val="auto"/>
          <w:rtl/>
          <w:lang w:eastAsia="en-US"/>
        </w:rPr>
        <w:t>---------------------------------</w:t>
      </w:r>
    </w:p>
    <w:p w14:paraId="177EAF0D" w14:textId="77777777" w:rsidR="004E74F8" w:rsidRPr="00D73212" w:rsidRDefault="004E74F8" w:rsidP="004E74F8">
      <w:pPr>
        <w:pStyle w:val="Hesber"/>
        <w:rPr>
          <w:color w:val="auto"/>
          <w:rtl/>
          <w:lang w:eastAsia="en-US"/>
        </w:rPr>
      </w:pPr>
      <w:r w:rsidRPr="00D73212">
        <w:rPr>
          <w:rFonts w:hint="cs"/>
          <w:color w:val="auto"/>
          <w:rtl/>
          <w:lang w:eastAsia="en-US"/>
        </w:rPr>
        <w:t>הוגשה</w:t>
      </w:r>
      <w:r w:rsidRPr="00D73212">
        <w:rPr>
          <w:color w:val="auto"/>
          <w:rtl/>
          <w:lang w:eastAsia="en-US"/>
        </w:rPr>
        <w:t xml:space="preserve"> </w:t>
      </w:r>
      <w:r w:rsidRPr="00D73212">
        <w:rPr>
          <w:rFonts w:hint="cs"/>
          <w:color w:val="auto"/>
          <w:rtl/>
          <w:lang w:eastAsia="en-US"/>
        </w:rPr>
        <w:t>ליו</w:t>
      </w:r>
      <w:r w:rsidRPr="00D73212">
        <w:rPr>
          <w:color w:val="auto"/>
          <w:rtl/>
          <w:lang w:eastAsia="en-US"/>
        </w:rPr>
        <w:t>"</w:t>
      </w:r>
      <w:r w:rsidRPr="00D73212">
        <w:rPr>
          <w:rFonts w:hint="cs"/>
          <w:color w:val="auto"/>
          <w:rtl/>
          <w:lang w:eastAsia="en-US"/>
        </w:rPr>
        <w:t>ר</w:t>
      </w:r>
      <w:r w:rsidRPr="00D73212">
        <w:rPr>
          <w:color w:val="auto"/>
          <w:rtl/>
          <w:lang w:eastAsia="en-US"/>
        </w:rPr>
        <w:t xml:space="preserve"> </w:t>
      </w:r>
      <w:r w:rsidRPr="00D73212">
        <w:rPr>
          <w:rFonts w:hint="cs"/>
          <w:color w:val="auto"/>
          <w:rtl/>
          <w:lang w:eastAsia="en-US"/>
        </w:rPr>
        <w:t>הכנסת</w:t>
      </w:r>
      <w:r w:rsidRPr="00D73212">
        <w:rPr>
          <w:color w:val="auto"/>
          <w:rtl/>
          <w:lang w:eastAsia="en-US"/>
        </w:rPr>
        <w:t xml:space="preserve"> </w:t>
      </w:r>
      <w:r w:rsidRPr="00D73212">
        <w:rPr>
          <w:rFonts w:hint="cs"/>
          <w:color w:val="auto"/>
          <w:rtl/>
          <w:lang w:eastAsia="en-US"/>
        </w:rPr>
        <w:t>והסגנים</w:t>
      </w:r>
    </w:p>
    <w:p w14:paraId="720E5226" w14:textId="77777777" w:rsidR="004E74F8" w:rsidRPr="00D73212" w:rsidRDefault="004E74F8" w:rsidP="004E74F8">
      <w:pPr>
        <w:pStyle w:val="Hesber"/>
        <w:rPr>
          <w:color w:val="auto"/>
          <w:rtl/>
          <w:lang w:eastAsia="en-US"/>
        </w:rPr>
      </w:pPr>
      <w:r w:rsidRPr="00D73212">
        <w:rPr>
          <w:rFonts w:hint="cs"/>
          <w:color w:val="auto"/>
          <w:rtl/>
          <w:lang w:eastAsia="en-US"/>
        </w:rPr>
        <w:t>והונחה</w:t>
      </w:r>
      <w:r w:rsidRPr="00D73212">
        <w:rPr>
          <w:color w:val="auto"/>
          <w:rtl/>
          <w:lang w:eastAsia="en-US"/>
        </w:rPr>
        <w:t xml:space="preserve"> </w:t>
      </w:r>
      <w:r w:rsidRPr="00D73212">
        <w:rPr>
          <w:rFonts w:hint="cs"/>
          <w:color w:val="auto"/>
          <w:rtl/>
          <w:lang w:eastAsia="en-US"/>
        </w:rPr>
        <w:t>על</w:t>
      </w:r>
      <w:r w:rsidRPr="00D73212">
        <w:rPr>
          <w:color w:val="auto"/>
          <w:rtl/>
          <w:lang w:eastAsia="en-US"/>
        </w:rPr>
        <w:t xml:space="preserve"> </w:t>
      </w:r>
      <w:r w:rsidRPr="00D73212">
        <w:rPr>
          <w:rFonts w:hint="cs"/>
          <w:color w:val="auto"/>
          <w:rtl/>
          <w:lang w:eastAsia="en-US"/>
        </w:rPr>
        <w:t>שולחן</w:t>
      </w:r>
      <w:r w:rsidRPr="00D73212">
        <w:rPr>
          <w:color w:val="auto"/>
          <w:rtl/>
          <w:lang w:eastAsia="en-US"/>
        </w:rPr>
        <w:t xml:space="preserve"> </w:t>
      </w:r>
      <w:r w:rsidRPr="00D73212">
        <w:rPr>
          <w:rFonts w:hint="cs"/>
          <w:color w:val="auto"/>
          <w:rtl/>
          <w:lang w:eastAsia="en-US"/>
        </w:rPr>
        <w:t>הכנסת</w:t>
      </w:r>
      <w:r w:rsidRPr="00D73212">
        <w:rPr>
          <w:color w:val="auto"/>
          <w:rtl/>
          <w:lang w:eastAsia="en-US"/>
        </w:rPr>
        <w:t xml:space="preserve"> </w:t>
      </w:r>
      <w:r w:rsidRPr="00D73212">
        <w:rPr>
          <w:rFonts w:hint="cs"/>
          <w:color w:val="auto"/>
          <w:rtl/>
          <w:lang w:eastAsia="en-US"/>
        </w:rPr>
        <w:t>ביום</w:t>
      </w:r>
    </w:p>
    <w:p w14:paraId="2A726023" w14:textId="77777777" w:rsidR="004E74F8" w:rsidRPr="00317312" w:rsidRDefault="004E74F8" w:rsidP="004E74F8">
      <w:pPr>
        <w:pStyle w:val="Hesber"/>
      </w:pPr>
      <w:r>
        <w:rPr>
          <w:rFonts w:hint="cs"/>
          <w:color w:val="auto"/>
          <w:rtl/>
          <w:lang w:eastAsia="en-US"/>
        </w:rPr>
        <w:t>ג' באב</w:t>
      </w:r>
      <w:r w:rsidRPr="00D73212">
        <w:rPr>
          <w:color w:val="auto"/>
          <w:rtl/>
          <w:lang w:eastAsia="en-US"/>
        </w:rPr>
        <w:t xml:space="preserve"> </w:t>
      </w:r>
      <w:r w:rsidRPr="00D73212">
        <w:rPr>
          <w:rFonts w:hint="cs"/>
          <w:color w:val="auto"/>
          <w:rtl/>
          <w:lang w:eastAsia="en-US"/>
        </w:rPr>
        <w:t>התשע</w:t>
      </w:r>
      <w:r w:rsidRPr="00D73212">
        <w:rPr>
          <w:color w:val="auto"/>
          <w:rtl/>
          <w:lang w:eastAsia="en-US"/>
        </w:rPr>
        <w:t>"</w:t>
      </w:r>
      <w:r>
        <w:rPr>
          <w:rFonts w:hint="cs"/>
          <w:color w:val="auto"/>
          <w:rtl/>
          <w:lang w:eastAsia="en-US"/>
        </w:rPr>
        <w:t>ז</w:t>
      </w:r>
      <w:r w:rsidRPr="00D73212">
        <w:rPr>
          <w:color w:val="auto"/>
          <w:rtl/>
          <w:lang w:eastAsia="en-US"/>
        </w:rPr>
        <w:t xml:space="preserve"> – </w:t>
      </w:r>
      <w:r>
        <w:rPr>
          <w:rFonts w:hint="cs"/>
          <w:color w:val="auto"/>
          <w:rtl/>
          <w:lang w:eastAsia="en-US"/>
        </w:rPr>
        <w:t>26.7</w:t>
      </w:r>
      <w:r w:rsidRPr="00D73212">
        <w:rPr>
          <w:color w:val="auto"/>
          <w:rtl/>
          <w:lang w:eastAsia="en-US"/>
        </w:rPr>
        <w:t>.</w:t>
      </w:r>
      <w:r>
        <w:rPr>
          <w:rFonts w:hint="cs"/>
          <w:color w:val="auto"/>
          <w:rtl/>
          <w:lang w:eastAsia="en-US"/>
        </w:rPr>
        <w:t>17</w:t>
      </w:r>
    </w:p>
    <w:p w14:paraId="00DEDA96" w14:textId="77777777" w:rsidR="004E74F8" w:rsidRDefault="004E74F8" w:rsidP="004E74F8">
      <w:pPr>
        <w:spacing w:before="0" w:line="360" w:lineRule="auto"/>
        <w:ind w:left="340" w:firstLine="0"/>
        <w:rPr>
          <w:rFonts w:ascii="Arial" w:eastAsia="Arial Unicode MS" w:hAnsi="Arial" w:cs="David"/>
          <w:snapToGrid w:val="0"/>
          <w:spacing w:val="0"/>
          <w:sz w:val="20"/>
          <w:szCs w:val="26"/>
          <w:rtl/>
        </w:rPr>
      </w:pPr>
    </w:p>
    <w:p w14:paraId="007464FE" w14:textId="77777777" w:rsidR="004E74F8" w:rsidRPr="00B15BBC" w:rsidRDefault="004E74F8" w:rsidP="004E74F8">
      <w:pPr>
        <w:spacing w:before="0" w:line="360" w:lineRule="auto"/>
        <w:ind w:left="340" w:firstLine="0"/>
        <w:rPr>
          <w:rFonts w:ascii="Arial" w:eastAsia="Arial Unicode MS" w:hAnsi="Arial" w:cs="David" w:hint="cs"/>
          <w:snapToGrid w:val="0"/>
          <w:spacing w:val="0"/>
          <w:sz w:val="20"/>
          <w:szCs w:val="26"/>
          <w:rtl/>
        </w:rPr>
      </w:pPr>
    </w:p>
    <w:p w14:paraId="0C53161B" w14:textId="77777777" w:rsidR="004E74F8" w:rsidRPr="000339B5" w:rsidRDefault="004E74F8" w:rsidP="004E74F8">
      <w:pPr>
        <w:spacing w:before="0"/>
        <w:rPr>
          <w:rFonts w:hint="cs"/>
        </w:rPr>
      </w:pPr>
    </w:p>
    <w:p w14:paraId="6CFF04BB" w14:textId="77777777" w:rsidR="00D90739" w:rsidRPr="00A21E2D" w:rsidRDefault="00D90739" w:rsidP="00D90739">
      <w:pPr>
        <w:pStyle w:val="m253505781925939967msolistparagraph"/>
        <w:shd w:val="clear" w:color="auto" w:fill="FFFFFF"/>
        <w:bidi/>
        <w:spacing w:before="0" w:beforeAutospacing="0" w:after="0" w:afterAutospacing="0" w:line="360" w:lineRule="auto"/>
        <w:contextualSpacing/>
        <w:rPr>
          <w:rFonts w:ascii="David" w:hAnsi="David" w:cs="David"/>
          <w:color w:val="222222"/>
          <w:sz w:val="26"/>
          <w:szCs w:val="26"/>
          <w:rtl/>
        </w:rPr>
      </w:pPr>
      <w:bookmarkStart w:id="8" w:name="_GoBack"/>
      <w:bookmarkEnd w:id="8"/>
    </w:p>
    <w:p w14:paraId="3148A43F" w14:textId="77777777" w:rsidR="00D90739" w:rsidRDefault="00D90739" w:rsidP="00D90739">
      <w:pPr>
        <w:pStyle w:val="Hesber"/>
        <w:ind w:firstLine="0"/>
        <w:rPr>
          <w:rtl/>
        </w:rPr>
      </w:pPr>
    </w:p>
    <w:p w14:paraId="4AD1D596" w14:textId="77777777" w:rsidR="00D90739" w:rsidRDefault="00D90739" w:rsidP="00D90739">
      <w:pPr>
        <w:pStyle w:val="Hesber"/>
        <w:ind w:firstLine="0"/>
        <w:rPr>
          <w:rtl/>
        </w:rPr>
      </w:pPr>
    </w:p>
    <w:p w14:paraId="6EFBA704" w14:textId="77777777" w:rsidR="00D90739" w:rsidRDefault="00D90739" w:rsidP="00D90739">
      <w:pPr>
        <w:pStyle w:val="Hesber"/>
        <w:ind w:firstLine="0"/>
        <w:rPr>
          <w:rtl/>
        </w:rPr>
      </w:pPr>
    </w:p>
    <w:p w14:paraId="0BAF57A3" w14:textId="77777777" w:rsidR="00D90739" w:rsidRPr="00D73212" w:rsidRDefault="00D90739" w:rsidP="00D90739">
      <w:pPr>
        <w:pStyle w:val="Hesber"/>
        <w:rPr>
          <w:color w:val="auto"/>
          <w:rtl/>
          <w:lang w:eastAsia="en-US"/>
        </w:rPr>
      </w:pPr>
    </w:p>
    <w:p w14:paraId="4B2E46A8" w14:textId="77777777" w:rsidR="00D90739" w:rsidRDefault="00D90739" w:rsidP="00D90739">
      <w:pPr>
        <w:rPr>
          <w:rtl/>
        </w:rPr>
      </w:pPr>
    </w:p>
    <w:p w14:paraId="49596582" w14:textId="77777777" w:rsidR="00D90739" w:rsidRDefault="00D90739" w:rsidP="00D90739"/>
    <w:p w14:paraId="05981B33" w14:textId="77777777" w:rsidR="00D90739" w:rsidRDefault="00D90739" w:rsidP="00D90739"/>
    <w:p w14:paraId="7F6961CB" w14:textId="77777777" w:rsidR="00E13C27" w:rsidRPr="00D90739" w:rsidRDefault="00E13C27" w:rsidP="00E13C27">
      <w:pPr>
        <w:pStyle w:val="Hesber"/>
        <w:rPr>
          <w:rtl/>
        </w:rPr>
      </w:pPr>
    </w:p>
    <w:sectPr w:rsidR="00E13C27" w:rsidRPr="00D90739" w:rsidSect="001207F8">
      <w:footerReference w:type="even" r:id="rId11"/>
      <w:footerReference w:type="default" r:id="rId12"/>
      <w:pgSz w:w="11907" w:h="16840" w:code="9"/>
      <w:pgMar w:top="1134" w:right="1134" w:bottom="1134" w:left="1134" w:header="680" w:footer="680" w:gutter="0"/>
      <w:cols w:space="720"/>
      <w:noEndnote/>
      <w:titlePg/>
      <w:bidi/>
      <w:rtlGutter/>
      <w:docGrid w:linePitch="2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488A69" w14:textId="77777777" w:rsidR="00A942C1" w:rsidRDefault="00A942C1">
      <w:r>
        <w:separator/>
      </w:r>
    </w:p>
  </w:endnote>
  <w:endnote w:type="continuationSeparator" w:id="0">
    <w:p w14:paraId="318F26FB" w14:textId="77777777" w:rsidR="00A942C1" w:rsidRDefault="00A942C1">
      <w:r>
        <w:continuationSeparator/>
      </w:r>
    </w:p>
  </w:endnote>
  <w:endnote w:type="continuationNotice" w:id="1">
    <w:p w14:paraId="6BE48FD5" w14:textId="77777777" w:rsidR="00A942C1" w:rsidRDefault="00A942C1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Hadasa Roso SL">
    <w:altName w:val="Times New Roman"/>
    <w:charset w:val="00"/>
    <w:family w:val="roman"/>
    <w:pitch w:val="variable"/>
    <w:sig w:usb0="80001827" w:usb1="5000004A" w:usb2="00000020" w:usb3="00000000" w:csb0="0000002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6961D5" w14:textId="77777777" w:rsidR="002C3041" w:rsidRDefault="002C3041" w:rsidP="001207F8">
    <w:pPr>
      <w:pStyle w:val="a8"/>
      <w:framePr w:wrap="around" w:vAnchor="text" w:hAnchor="text" w:xAlign="center" w:y="1"/>
      <w:rPr>
        <w:rStyle w:val="aa"/>
      </w:rPr>
    </w:pPr>
    <w:r>
      <w:rPr>
        <w:rStyle w:val="aa"/>
        <w:rtl/>
      </w:rPr>
      <w:fldChar w:fldCharType="begin"/>
    </w:r>
    <w:r>
      <w:rPr>
        <w:rStyle w:val="aa"/>
      </w:rPr>
      <w:instrText xml:space="preserve">PAGE  </w:instrText>
    </w:r>
    <w:r>
      <w:rPr>
        <w:rStyle w:val="aa"/>
        <w:rtl/>
      </w:rPr>
      <w:fldChar w:fldCharType="end"/>
    </w:r>
  </w:p>
  <w:p w14:paraId="7F6961D6" w14:textId="77777777" w:rsidR="002C3041" w:rsidRDefault="002C3041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6961D7" w14:textId="77777777" w:rsidR="002C3041" w:rsidRDefault="002C3041" w:rsidP="001207F8">
    <w:pPr>
      <w:pStyle w:val="a8"/>
      <w:framePr w:wrap="around" w:vAnchor="text" w:hAnchor="text" w:xAlign="center" w:y="1"/>
      <w:rPr>
        <w:rStyle w:val="aa"/>
      </w:rPr>
    </w:pPr>
    <w:r>
      <w:rPr>
        <w:rStyle w:val="aa"/>
        <w:rtl/>
      </w:rPr>
      <w:fldChar w:fldCharType="begin"/>
    </w:r>
    <w:r>
      <w:rPr>
        <w:rStyle w:val="aa"/>
      </w:rPr>
      <w:instrText xml:space="preserve">PAGE  </w:instrText>
    </w:r>
    <w:r>
      <w:rPr>
        <w:rStyle w:val="aa"/>
        <w:rtl/>
      </w:rPr>
      <w:fldChar w:fldCharType="separate"/>
    </w:r>
    <w:r w:rsidR="004E74F8">
      <w:rPr>
        <w:rStyle w:val="aa"/>
        <w:noProof/>
        <w:rtl/>
      </w:rPr>
      <w:t>2</w:t>
    </w:r>
    <w:r>
      <w:rPr>
        <w:rStyle w:val="aa"/>
        <w:rtl/>
      </w:rPr>
      <w:fldChar w:fldCharType="end"/>
    </w:r>
  </w:p>
  <w:p w14:paraId="7F6961D8" w14:textId="77777777" w:rsidR="002C3041" w:rsidRDefault="002C304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67B9F2" w14:textId="77777777" w:rsidR="00A942C1" w:rsidRDefault="00A942C1">
      <w:r>
        <w:separator/>
      </w:r>
    </w:p>
  </w:footnote>
  <w:footnote w:type="continuationSeparator" w:id="0">
    <w:p w14:paraId="3DB92342" w14:textId="77777777" w:rsidR="00A942C1" w:rsidRDefault="00A942C1">
      <w:r>
        <w:continuationSeparator/>
      </w:r>
    </w:p>
  </w:footnote>
  <w:footnote w:type="continuationNotice" w:id="1">
    <w:p w14:paraId="16009878" w14:textId="77777777" w:rsidR="00A942C1" w:rsidRDefault="00A942C1"/>
  </w:footnote>
  <w:footnote w:id="2">
    <w:p w14:paraId="7694220C" w14:textId="77777777" w:rsidR="00B03772" w:rsidRDefault="00B03772" w:rsidP="00B03772">
      <w:pPr>
        <w:pStyle w:val="a4"/>
      </w:pPr>
      <w:r>
        <w:rPr>
          <w:rStyle w:val="a5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ס"ח התשמ"א, עמ' 208.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F6AAD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D5CAE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7E88A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DA1E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A3056D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222F1D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406C9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BFE92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94246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D088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CDD78F3"/>
    <w:multiLevelType w:val="hybridMultilevel"/>
    <w:tmpl w:val="9E4C4E42"/>
    <w:lvl w:ilvl="0" w:tplc="861C87C0">
      <w:start w:val="1"/>
      <w:numFmt w:val="decimal"/>
      <w:lvlText w:val="(%1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B0598A"/>
    <w:multiLevelType w:val="hybridMultilevel"/>
    <w:tmpl w:val="746CCEE6"/>
    <w:lvl w:ilvl="0" w:tplc="040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845200"/>
    <w:multiLevelType w:val="hybridMultilevel"/>
    <w:tmpl w:val="97B4429C"/>
    <w:lvl w:ilvl="0" w:tplc="8E48C3B6">
      <w:start w:val="1"/>
      <w:numFmt w:val="decimal"/>
      <w:lvlText w:val="%1."/>
      <w:lvlJc w:val="left"/>
      <w:pPr>
        <w:ind w:left="36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53C544D"/>
    <w:multiLevelType w:val="hybridMultilevel"/>
    <w:tmpl w:val="B170A16C"/>
    <w:lvl w:ilvl="0" w:tplc="746489A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D3D4E8B2">
      <w:start w:val="1"/>
      <w:numFmt w:val="decimal"/>
      <w:lvlText w:val="(%2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2" w:tplc="5D2AB1E4">
      <w:start w:val="1"/>
      <w:numFmt w:val="hebrew1"/>
      <w:lvlText w:val="(%3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3" w:tplc="1F820BA4">
      <w:start w:val="1"/>
      <w:numFmt w:val="hebrew1"/>
      <w:lvlRestart w:val="0"/>
      <w:lvlText w:val="(%4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4" w:tplc="62C6E096">
      <w:start w:val="1"/>
      <w:numFmt w:val="decimal"/>
      <w:lvlRestart w:val="0"/>
      <w:lvlText w:val="(%5)"/>
      <w:lvlJc w:val="left"/>
      <w:pPr>
        <w:tabs>
          <w:tab w:val="num" w:pos="3864"/>
        </w:tabs>
        <w:ind w:left="3240" w:firstLine="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5C858E4"/>
    <w:multiLevelType w:val="hybridMultilevel"/>
    <w:tmpl w:val="882C6ED4"/>
    <w:lvl w:ilvl="0" w:tplc="4112A21E">
      <w:start w:val="1"/>
      <w:numFmt w:val="hebrew1"/>
      <w:lvlRestart w:val="0"/>
      <w:lvlText w:val="(%1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1" w:tplc="49082BE6">
      <w:start w:val="1"/>
      <w:numFmt w:val="decimal"/>
      <w:lvlRestart w:val="0"/>
      <w:lvlText w:val="(%2)"/>
      <w:lvlJc w:val="left"/>
      <w:pPr>
        <w:tabs>
          <w:tab w:val="num" w:pos="1704"/>
        </w:tabs>
        <w:ind w:left="1080" w:firstLine="0"/>
      </w:pPr>
      <w:rPr>
        <w:rFonts w:hint="default"/>
      </w:rPr>
    </w:lvl>
    <w:lvl w:ilvl="2" w:tplc="48C06176">
      <w:start w:val="1"/>
      <w:numFmt w:val="decimal"/>
      <w:lvlRestart w:val="0"/>
      <w:lvlText w:val="(%3)"/>
      <w:lvlJc w:val="left"/>
      <w:pPr>
        <w:tabs>
          <w:tab w:val="num" w:pos="2604"/>
        </w:tabs>
        <w:ind w:left="1980" w:firstLine="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3"/>
  </w:num>
  <w:num w:numId="13">
    <w:abstractNumId w:val="10"/>
  </w:num>
  <w:num w:numId="14">
    <w:abstractNumId w:val="1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stylePaneFormatFilter w:val="0002" w:allStyles="0" w:customStyles="1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riginalName" w:val="tmp482240lsCopyOriginal.docx"/>
    <w:docVar w:name="StartMode" w:val="2"/>
  </w:docVars>
  <w:rsids>
    <w:rsidRoot w:val="00DB7060"/>
    <w:rsid w:val="0000131B"/>
    <w:rsid w:val="00015B27"/>
    <w:rsid w:val="0002458D"/>
    <w:rsid w:val="00063A3E"/>
    <w:rsid w:val="00072CAC"/>
    <w:rsid w:val="0007681A"/>
    <w:rsid w:val="000A542E"/>
    <w:rsid w:val="000B2191"/>
    <w:rsid w:val="00102B6B"/>
    <w:rsid w:val="001052D4"/>
    <w:rsid w:val="0010644B"/>
    <w:rsid w:val="001207F8"/>
    <w:rsid w:val="00121924"/>
    <w:rsid w:val="001279A8"/>
    <w:rsid w:val="0014195F"/>
    <w:rsid w:val="00152609"/>
    <w:rsid w:val="00153E1B"/>
    <w:rsid w:val="001A0623"/>
    <w:rsid w:val="001C23B0"/>
    <w:rsid w:val="001D7AAF"/>
    <w:rsid w:val="00203A7F"/>
    <w:rsid w:val="00216280"/>
    <w:rsid w:val="0021633A"/>
    <w:rsid w:val="002200A1"/>
    <w:rsid w:val="002362BF"/>
    <w:rsid w:val="00241B97"/>
    <w:rsid w:val="002425D1"/>
    <w:rsid w:val="00246756"/>
    <w:rsid w:val="00251E58"/>
    <w:rsid w:val="00254605"/>
    <w:rsid w:val="00266D86"/>
    <w:rsid w:val="002728B4"/>
    <w:rsid w:val="0027600C"/>
    <w:rsid w:val="00292712"/>
    <w:rsid w:val="00294EA3"/>
    <w:rsid w:val="002A487D"/>
    <w:rsid w:val="002A7AD4"/>
    <w:rsid w:val="002C1BB8"/>
    <w:rsid w:val="002C2E29"/>
    <w:rsid w:val="002C3041"/>
    <w:rsid w:val="002D1EE3"/>
    <w:rsid w:val="002F1D80"/>
    <w:rsid w:val="003232A2"/>
    <w:rsid w:val="00325C14"/>
    <w:rsid w:val="0036422C"/>
    <w:rsid w:val="003710F6"/>
    <w:rsid w:val="00386E88"/>
    <w:rsid w:val="00396585"/>
    <w:rsid w:val="003D6E38"/>
    <w:rsid w:val="003D74A0"/>
    <w:rsid w:val="003F72D5"/>
    <w:rsid w:val="004033D8"/>
    <w:rsid w:val="004073F0"/>
    <w:rsid w:val="00412A7D"/>
    <w:rsid w:val="00416B4D"/>
    <w:rsid w:val="00417CFC"/>
    <w:rsid w:val="00453925"/>
    <w:rsid w:val="004A06DC"/>
    <w:rsid w:val="004B24ED"/>
    <w:rsid w:val="004B6625"/>
    <w:rsid w:val="004D2D82"/>
    <w:rsid w:val="004D3876"/>
    <w:rsid w:val="004E4552"/>
    <w:rsid w:val="004E6CDF"/>
    <w:rsid w:val="004E74F8"/>
    <w:rsid w:val="00553C9D"/>
    <w:rsid w:val="00562A66"/>
    <w:rsid w:val="005B064E"/>
    <w:rsid w:val="005C2647"/>
    <w:rsid w:val="005D51AE"/>
    <w:rsid w:val="0062674B"/>
    <w:rsid w:val="006363B2"/>
    <w:rsid w:val="00644940"/>
    <w:rsid w:val="00646FEC"/>
    <w:rsid w:val="006818A9"/>
    <w:rsid w:val="006A2D81"/>
    <w:rsid w:val="006C1D0D"/>
    <w:rsid w:val="00701D38"/>
    <w:rsid w:val="0070601E"/>
    <w:rsid w:val="00712C72"/>
    <w:rsid w:val="00735FE9"/>
    <w:rsid w:val="00763CAA"/>
    <w:rsid w:val="00765F66"/>
    <w:rsid w:val="0078664F"/>
    <w:rsid w:val="007A460A"/>
    <w:rsid w:val="007C3FA6"/>
    <w:rsid w:val="007D585A"/>
    <w:rsid w:val="007D5A12"/>
    <w:rsid w:val="007E59F9"/>
    <w:rsid w:val="00810BCD"/>
    <w:rsid w:val="00812C98"/>
    <w:rsid w:val="00814D92"/>
    <w:rsid w:val="0083181D"/>
    <w:rsid w:val="00843EB2"/>
    <w:rsid w:val="00865572"/>
    <w:rsid w:val="00874BBC"/>
    <w:rsid w:val="00892135"/>
    <w:rsid w:val="00895449"/>
    <w:rsid w:val="00897879"/>
    <w:rsid w:val="008A6870"/>
    <w:rsid w:val="008C2DDC"/>
    <w:rsid w:val="008C7516"/>
    <w:rsid w:val="008E6EC7"/>
    <w:rsid w:val="008F0D63"/>
    <w:rsid w:val="008F1308"/>
    <w:rsid w:val="008F2C35"/>
    <w:rsid w:val="008F6665"/>
    <w:rsid w:val="00904591"/>
    <w:rsid w:val="00905E5F"/>
    <w:rsid w:val="0091204F"/>
    <w:rsid w:val="009203DB"/>
    <w:rsid w:val="00923CD4"/>
    <w:rsid w:val="00930EFE"/>
    <w:rsid w:val="00943386"/>
    <w:rsid w:val="009456B6"/>
    <w:rsid w:val="00957589"/>
    <w:rsid w:val="00966D06"/>
    <w:rsid w:val="00982412"/>
    <w:rsid w:val="00983A8D"/>
    <w:rsid w:val="009A0DB8"/>
    <w:rsid w:val="009A1319"/>
    <w:rsid w:val="009A7257"/>
    <w:rsid w:val="009D6E0A"/>
    <w:rsid w:val="009E1E33"/>
    <w:rsid w:val="00A14672"/>
    <w:rsid w:val="00A26BD6"/>
    <w:rsid w:val="00A443CF"/>
    <w:rsid w:val="00A6611D"/>
    <w:rsid w:val="00A82CB7"/>
    <w:rsid w:val="00A942C1"/>
    <w:rsid w:val="00AA2F03"/>
    <w:rsid w:val="00AC36F7"/>
    <w:rsid w:val="00AC63A4"/>
    <w:rsid w:val="00AD239E"/>
    <w:rsid w:val="00B02FF8"/>
    <w:rsid w:val="00B03772"/>
    <w:rsid w:val="00B10265"/>
    <w:rsid w:val="00B16A99"/>
    <w:rsid w:val="00B21211"/>
    <w:rsid w:val="00B35784"/>
    <w:rsid w:val="00B65051"/>
    <w:rsid w:val="00B733A7"/>
    <w:rsid w:val="00B75C91"/>
    <w:rsid w:val="00B975AD"/>
    <w:rsid w:val="00BC45FB"/>
    <w:rsid w:val="00BF148D"/>
    <w:rsid w:val="00C104A8"/>
    <w:rsid w:val="00C23B1A"/>
    <w:rsid w:val="00C310EB"/>
    <w:rsid w:val="00C9176A"/>
    <w:rsid w:val="00CA5F2D"/>
    <w:rsid w:val="00CF1AA2"/>
    <w:rsid w:val="00D17774"/>
    <w:rsid w:val="00D57A75"/>
    <w:rsid w:val="00D63620"/>
    <w:rsid w:val="00D8410D"/>
    <w:rsid w:val="00D867D7"/>
    <w:rsid w:val="00D90739"/>
    <w:rsid w:val="00DB7060"/>
    <w:rsid w:val="00DE3153"/>
    <w:rsid w:val="00DE6093"/>
    <w:rsid w:val="00E06736"/>
    <w:rsid w:val="00E13C27"/>
    <w:rsid w:val="00E33BBD"/>
    <w:rsid w:val="00E374F2"/>
    <w:rsid w:val="00E45103"/>
    <w:rsid w:val="00E55A60"/>
    <w:rsid w:val="00E62778"/>
    <w:rsid w:val="00E63D38"/>
    <w:rsid w:val="00E665B9"/>
    <w:rsid w:val="00EA01E6"/>
    <w:rsid w:val="00EA3DE8"/>
    <w:rsid w:val="00EA758F"/>
    <w:rsid w:val="00ED4A6F"/>
    <w:rsid w:val="00EF3A3A"/>
    <w:rsid w:val="00F628D6"/>
    <w:rsid w:val="00F67051"/>
    <w:rsid w:val="00F86A1E"/>
    <w:rsid w:val="00FA5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</o:shapedefaults>
    <o:shapelayout v:ext="edit">
      <o:idmap v:ext="edit" data="1"/>
    </o:shapelayout>
  </w:shapeDefaults>
  <w:doNotEmbedSmartTags/>
  <w:decimalSymbol w:val="."/>
  <w:listSeparator w:val=","/>
  <w14:docId w14:val="7F6961A1"/>
  <w15:docId w15:val="{E7CC2A52-7C30-40EF-A06A-B08F5CE6E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3772"/>
    <w:pPr>
      <w:widowControl w:val="0"/>
      <w:autoSpaceDE w:val="0"/>
      <w:autoSpaceDN w:val="0"/>
      <w:bidi/>
      <w:adjustRightInd w:val="0"/>
      <w:spacing w:before="102" w:line="204" w:lineRule="atLeast"/>
      <w:ind w:firstLine="340"/>
      <w:jc w:val="both"/>
      <w:textAlignment w:val="center"/>
    </w:pPr>
    <w:rPr>
      <w:rFonts w:ascii="Hadasa Roso SL" w:hAnsi="Hadasa Roso SL" w:cs="Hadasa Roso SL"/>
      <w:color w:val="000000"/>
      <w:spacing w:val="1"/>
      <w:sz w:val="17"/>
      <w:szCs w:val="17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943386"/>
    <w:pPr>
      <w:widowControl w:val="0"/>
      <w:autoSpaceDE w:val="0"/>
      <w:autoSpaceDN w:val="0"/>
      <w:bidi/>
      <w:adjustRightInd w:val="0"/>
      <w:snapToGrid w:val="0"/>
      <w:spacing w:line="360" w:lineRule="auto"/>
      <w:textAlignment w:val="center"/>
    </w:pPr>
    <w:rPr>
      <w:rFonts w:ascii="Arial" w:eastAsia="Arial Unicode MS" w:hAnsi="Arial" w:cs="David"/>
      <w:snapToGrid w:val="0"/>
      <w:color w:val="000000"/>
      <w:szCs w:val="26"/>
      <w:lang w:eastAsia="ja-JP"/>
    </w:rPr>
  </w:style>
  <w:style w:type="paragraph" w:customStyle="1" w:styleId="Cover1-Reshumot">
    <w:name w:val="Cover 1-Reshumot"/>
    <w:basedOn w:val="a"/>
    <w:rsid w:val="00B03772"/>
    <w:pPr>
      <w:tabs>
        <w:tab w:val="left" w:pos="1191"/>
        <w:tab w:val="left" w:pos="1587"/>
      </w:tabs>
      <w:snapToGrid w:val="0"/>
      <w:spacing w:before="240" w:after="240" w:line="480" w:lineRule="auto"/>
      <w:ind w:firstLine="0"/>
      <w:jc w:val="center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Cover2-HatzaotHok">
    <w:name w:val="Cover 2-HatzaotHok"/>
    <w:basedOn w:val="Cover1-Reshumot"/>
    <w:rsid w:val="00B03772"/>
    <w:rPr>
      <w:sz w:val="36"/>
      <w:szCs w:val="52"/>
    </w:rPr>
  </w:style>
  <w:style w:type="paragraph" w:customStyle="1" w:styleId="Cover3-Haknesset">
    <w:name w:val="Cover 3-Haknesset"/>
    <w:basedOn w:val="Cover1-Reshumot"/>
    <w:rsid w:val="00B03772"/>
    <w:rPr>
      <w:b/>
      <w:bCs/>
      <w:spacing w:val="60"/>
    </w:rPr>
  </w:style>
  <w:style w:type="paragraph" w:customStyle="1" w:styleId="Cover4-Date">
    <w:name w:val="Cover 4-Date"/>
    <w:basedOn w:val="a"/>
    <w:rsid w:val="00B03772"/>
    <w:pPr>
      <w:pBdr>
        <w:bottom w:val="single" w:sz="4" w:space="0" w:color="auto"/>
      </w:pBdr>
      <w:tabs>
        <w:tab w:val="center" w:pos="4820"/>
        <w:tab w:val="right" w:pos="9639"/>
      </w:tabs>
      <w:snapToGrid w:val="0"/>
      <w:spacing w:before="240" w:after="240" w:line="360" w:lineRule="auto"/>
      <w:ind w:firstLine="0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TOC">
    <w:name w:val="TOC"/>
    <w:basedOn w:val="Noparagraphstyle"/>
    <w:rsid w:val="00943386"/>
    <w:pPr>
      <w:tabs>
        <w:tab w:val="left" w:leader="dot" w:pos="8789"/>
      </w:tabs>
      <w:spacing w:before="120"/>
      <w:ind w:left="284" w:right="284"/>
    </w:pPr>
  </w:style>
  <w:style w:type="paragraph" w:customStyle="1" w:styleId="TOCpg">
    <w:name w:val="TOC pg"/>
    <w:basedOn w:val="TOC"/>
    <w:rsid w:val="00943386"/>
    <w:pPr>
      <w:spacing w:after="120"/>
      <w:ind w:right="567"/>
      <w:jc w:val="right"/>
    </w:pPr>
  </w:style>
  <w:style w:type="paragraph" w:customStyle="1" w:styleId="HeadMitparsemetBaze">
    <w:name w:val="Head MitparsemetBaze"/>
    <w:basedOn w:val="a"/>
    <w:rsid w:val="00B03772"/>
    <w:pPr>
      <w:keepNext/>
      <w:keepLines/>
      <w:pageBreakBefore/>
      <w:snapToGrid w:val="0"/>
      <w:spacing w:before="480" w:line="360" w:lineRule="auto"/>
      <w:ind w:firstLine="0"/>
    </w:pPr>
    <w:rPr>
      <w:rFonts w:ascii="Arial" w:eastAsia="Arial Unicode MS" w:hAnsi="Arial" w:cs="David"/>
      <w:b/>
      <w:bCs/>
      <w:snapToGrid w:val="0"/>
      <w:spacing w:val="0"/>
      <w:sz w:val="20"/>
      <w:szCs w:val="26"/>
    </w:rPr>
  </w:style>
  <w:style w:type="paragraph" w:customStyle="1" w:styleId="HeadHatzaotHok">
    <w:name w:val="Head HatzaotHok"/>
    <w:basedOn w:val="a"/>
    <w:rsid w:val="00B03772"/>
    <w:pPr>
      <w:keepNext/>
      <w:keepLines/>
      <w:snapToGrid w:val="0"/>
      <w:spacing w:before="240" w:line="360" w:lineRule="auto"/>
      <w:ind w:firstLine="0"/>
      <w:jc w:val="center"/>
    </w:pPr>
    <w:rPr>
      <w:rFonts w:ascii="Arial" w:eastAsia="Arial Unicode MS" w:hAnsi="Arial" w:cs="David"/>
      <w:b/>
      <w:bCs/>
      <w:snapToGrid w:val="0"/>
      <w:spacing w:val="0"/>
      <w:sz w:val="20"/>
      <w:szCs w:val="26"/>
    </w:rPr>
  </w:style>
  <w:style w:type="paragraph" w:customStyle="1" w:styleId="HeadHatzaotHok4Futer">
    <w:name w:val="Head HatzaotHok4Futer"/>
    <w:basedOn w:val="HeadHatzaotHok"/>
    <w:rsid w:val="00B03772"/>
    <w:pPr>
      <w:spacing w:before="120" w:after="120"/>
    </w:pPr>
    <w:rPr>
      <w:color w:val="FF0000"/>
      <w:w w:val="80"/>
    </w:rPr>
  </w:style>
  <w:style w:type="paragraph" w:styleId="a3">
    <w:name w:val="endnote text"/>
    <w:basedOn w:val="a"/>
    <w:semiHidden/>
    <w:rsid w:val="00B03772"/>
    <w:pPr>
      <w:ind w:left="227" w:hanging="227"/>
    </w:pPr>
    <w:rPr>
      <w:sz w:val="14"/>
      <w:szCs w:val="22"/>
    </w:rPr>
  </w:style>
  <w:style w:type="paragraph" w:customStyle="1" w:styleId="TableText">
    <w:name w:val="Table Text"/>
    <w:basedOn w:val="a"/>
    <w:rsid w:val="00B03772"/>
    <w:pPr>
      <w:keepLines/>
      <w:tabs>
        <w:tab w:val="left" w:pos="624"/>
        <w:tab w:val="left" w:pos="1247"/>
      </w:tabs>
      <w:snapToGrid w:val="0"/>
      <w:spacing w:before="0" w:line="360" w:lineRule="auto"/>
      <w:ind w:right="57" w:firstLine="0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TableSideHeading">
    <w:name w:val="Table SideHeading"/>
    <w:basedOn w:val="TableText"/>
    <w:rsid w:val="00B03772"/>
  </w:style>
  <w:style w:type="paragraph" w:customStyle="1" w:styleId="TableBlock">
    <w:name w:val="Table Block"/>
    <w:basedOn w:val="TableText"/>
    <w:rsid w:val="00B03772"/>
    <w:pPr>
      <w:ind w:right="0"/>
      <w:jc w:val="both"/>
    </w:pPr>
  </w:style>
  <w:style w:type="paragraph" w:customStyle="1" w:styleId="TableHead">
    <w:name w:val="Table Head"/>
    <w:basedOn w:val="TableText"/>
    <w:rsid w:val="00B03772"/>
    <w:pPr>
      <w:ind w:right="0"/>
      <w:jc w:val="center"/>
    </w:pPr>
    <w:rPr>
      <w:b/>
      <w:bCs/>
    </w:rPr>
  </w:style>
  <w:style w:type="paragraph" w:customStyle="1" w:styleId="TableText2">
    <w:name w:val="Table Text2"/>
    <w:basedOn w:val="TableText"/>
    <w:rsid w:val="00943386"/>
  </w:style>
  <w:style w:type="paragraph" w:customStyle="1" w:styleId="TableInnerSideHeading">
    <w:name w:val="Table InnerSideHeading"/>
    <w:basedOn w:val="TableSideHeading"/>
    <w:rsid w:val="00B03772"/>
  </w:style>
  <w:style w:type="paragraph" w:customStyle="1" w:styleId="Hesber">
    <w:name w:val="Hesber"/>
    <w:basedOn w:val="a"/>
    <w:rsid w:val="00B03772"/>
    <w:pPr>
      <w:snapToGrid w:val="0"/>
      <w:spacing w:before="0" w:line="360" w:lineRule="auto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styleId="a4">
    <w:name w:val="footnote text"/>
    <w:basedOn w:val="a"/>
    <w:autoRedefine/>
    <w:semiHidden/>
    <w:rsid w:val="00B03772"/>
    <w:pPr>
      <w:snapToGrid w:val="0"/>
      <w:spacing w:before="0" w:line="240" w:lineRule="auto"/>
      <w:ind w:left="227" w:hanging="227"/>
      <w:jc w:val="left"/>
    </w:pPr>
    <w:rPr>
      <w:rFonts w:ascii="Arial" w:eastAsia="Arial Unicode MS" w:hAnsi="Arial" w:cs="David"/>
      <w:snapToGrid w:val="0"/>
      <w:spacing w:val="0"/>
      <w:sz w:val="14"/>
      <w:szCs w:val="20"/>
    </w:rPr>
  </w:style>
  <w:style w:type="character" w:styleId="a5">
    <w:name w:val="footnote reference"/>
    <w:aliases w:val="Footnote Reference"/>
    <w:basedOn w:val="a0"/>
    <w:semiHidden/>
    <w:rsid w:val="00B03772"/>
    <w:rPr>
      <w:vertAlign w:val="superscript"/>
    </w:rPr>
  </w:style>
  <w:style w:type="paragraph" w:customStyle="1" w:styleId="HesberHeading">
    <w:name w:val="Hesber Heading"/>
    <w:basedOn w:val="Hesber"/>
    <w:rsid w:val="00B03772"/>
    <w:pPr>
      <w:tabs>
        <w:tab w:val="left" w:pos="624"/>
        <w:tab w:val="left" w:pos="1247"/>
      </w:tabs>
      <w:ind w:firstLine="0"/>
    </w:pPr>
    <w:rPr>
      <w:b/>
      <w:bCs/>
    </w:rPr>
  </w:style>
  <w:style w:type="paragraph" w:customStyle="1" w:styleId="HesberWriters">
    <w:name w:val="Hesber Writers"/>
    <w:basedOn w:val="Hesber"/>
    <w:rsid w:val="00B03772"/>
    <w:pPr>
      <w:spacing w:before="120" w:after="6000"/>
      <w:ind w:left="1418" w:firstLine="0"/>
      <w:jc w:val="right"/>
    </w:pPr>
    <w:rPr>
      <w:b/>
      <w:bCs/>
    </w:rPr>
  </w:style>
  <w:style w:type="paragraph" w:customStyle="1" w:styleId="Hesber1st">
    <w:name w:val="Hesber 1st"/>
    <w:basedOn w:val="Hesber"/>
    <w:rsid w:val="00B03772"/>
    <w:pPr>
      <w:tabs>
        <w:tab w:val="left" w:pos="680"/>
        <w:tab w:val="left" w:pos="1020"/>
      </w:tabs>
      <w:ind w:firstLine="0"/>
    </w:pPr>
  </w:style>
  <w:style w:type="character" w:styleId="a6">
    <w:name w:val="endnote reference"/>
    <w:basedOn w:val="a0"/>
    <w:semiHidden/>
    <w:rsid w:val="00B03772"/>
    <w:rPr>
      <w:vertAlign w:val="superscript"/>
    </w:rPr>
  </w:style>
  <w:style w:type="paragraph" w:customStyle="1" w:styleId="TableBlockOutdent">
    <w:name w:val="Table BlockOutdent"/>
    <w:basedOn w:val="TableBlock"/>
    <w:rsid w:val="00B03772"/>
    <w:pPr>
      <w:ind w:left="624" w:hanging="624"/>
    </w:pPr>
  </w:style>
  <w:style w:type="paragraph" w:styleId="a7">
    <w:name w:val="header"/>
    <w:basedOn w:val="a"/>
    <w:rsid w:val="00B03772"/>
    <w:pPr>
      <w:tabs>
        <w:tab w:val="center" w:pos="4153"/>
        <w:tab w:val="right" w:pos="8306"/>
      </w:tabs>
    </w:pPr>
  </w:style>
  <w:style w:type="paragraph" w:styleId="a8">
    <w:name w:val="footer"/>
    <w:basedOn w:val="a"/>
    <w:rsid w:val="00B03772"/>
    <w:pPr>
      <w:tabs>
        <w:tab w:val="center" w:pos="4153"/>
        <w:tab w:val="right" w:pos="8306"/>
      </w:tabs>
    </w:pPr>
  </w:style>
  <w:style w:type="paragraph" w:customStyle="1" w:styleId="HeadDivreiHesber">
    <w:name w:val="Head DivreiHesber"/>
    <w:basedOn w:val="a"/>
    <w:rsid w:val="00B03772"/>
    <w:pPr>
      <w:snapToGrid w:val="0"/>
      <w:spacing w:before="360" w:after="120" w:line="360" w:lineRule="auto"/>
      <w:ind w:firstLine="0"/>
      <w:jc w:val="center"/>
    </w:pPr>
    <w:rPr>
      <w:rFonts w:ascii="Arial" w:eastAsia="Arial Unicode MS" w:hAnsi="Arial" w:cs="David"/>
      <w:b/>
      <w:snapToGrid w:val="0"/>
      <w:spacing w:val="40"/>
      <w:sz w:val="20"/>
      <w:szCs w:val="26"/>
    </w:rPr>
  </w:style>
  <w:style w:type="paragraph" w:customStyle="1" w:styleId="Ragil">
    <w:name w:val="Ragil"/>
    <w:basedOn w:val="a"/>
    <w:rsid w:val="00B03772"/>
    <w:pPr>
      <w:snapToGrid w:val="0"/>
      <w:spacing w:before="0" w:line="360" w:lineRule="auto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styleId="a9">
    <w:name w:val="Title"/>
    <w:basedOn w:val="a"/>
    <w:qFormat/>
    <w:rsid w:val="00943386"/>
    <w:pPr>
      <w:jc w:val="center"/>
    </w:pPr>
    <w:rPr>
      <w:rFonts w:cs="David"/>
      <w:b/>
      <w:bCs/>
      <w:sz w:val="28"/>
      <w:szCs w:val="28"/>
      <w:u w:val="single"/>
    </w:rPr>
  </w:style>
  <w:style w:type="character" w:styleId="aa">
    <w:name w:val="page number"/>
    <w:basedOn w:val="a0"/>
    <w:rsid w:val="00B03772"/>
  </w:style>
  <w:style w:type="paragraph" w:customStyle="1" w:styleId="David">
    <w:name w:val="רגיל + (עברית ושפות אחרות) David"/>
    <w:aliases w:val="‏13 נק',מודגש,אחרי:  6 נק'"/>
    <w:basedOn w:val="a"/>
    <w:rsid w:val="001207F8"/>
    <w:pPr>
      <w:ind w:firstLine="0"/>
      <w:jc w:val="left"/>
    </w:pPr>
    <w:rPr>
      <w:rFonts w:cs="David"/>
      <w:sz w:val="26"/>
      <w:szCs w:val="26"/>
    </w:rPr>
  </w:style>
  <w:style w:type="paragraph" w:styleId="ab">
    <w:name w:val="Balloon Text"/>
    <w:basedOn w:val="a"/>
    <w:link w:val="ac"/>
    <w:semiHidden/>
    <w:unhideWhenUsed/>
    <w:rsid w:val="00325C14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טקסט בלונים תו"/>
    <w:basedOn w:val="a0"/>
    <w:link w:val="ab"/>
    <w:semiHidden/>
    <w:rsid w:val="00325C14"/>
    <w:rPr>
      <w:rFonts w:ascii="Tahoma" w:hAnsi="Tahoma" w:cs="Tahoma"/>
      <w:color w:val="000000"/>
      <w:spacing w:val="1"/>
      <w:sz w:val="16"/>
      <w:szCs w:val="16"/>
      <w:lang w:eastAsia="ja-JP"/>
    </w:rPr>
  </w:style>
  <w:style w:type="paragraph" w:customStyle="1" w:styleId="m253505781925939967msolistparagraph">
    <w:name w:val="m_253505781925939967msolistparagraph"/>
    <w:basedOn w:val="a"/>
    <w:rsid w:val="00D90739"/>
    <w:pPr>
      <w:widowControl/>
      <w:autoSpaceDE/>
      <w:autoSpaceDN/>
      <w:bidi w:val="0"/>
      <w:adjustRightInd/>
      <w:spacing w:before="100" w:beforeAutospacing="1" w:after="100" w:afterAutospacing="1" w:line="240" w:lineRule="auto"/>
      <w:ind w:firstLine="0"/>
      <w:jc w:val="left"/>
      <w:textAlignment w:val="auto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en-US"/>
    </w:rPr>
  </w:style>
  <w:style w:type="character" w:customStyle="1" w:styleId="apple-converted-space">
    <w:name w:val="apple-converted-space"/>
    <w:basedOn w:val="a0"/>
    <w:rsid w:val="00D907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05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86EB84DF20CE4D8D9D1A5C7A92FD24" ma:contentTypeVersion="0" ma:contentTypeDescription="Create a new document." ma:contentTypeScope="" ma:versionID="99fd2faca98684dfaf8c37f6393491f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CDC32B-DD97-493E-9196-3EF77D6F9C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DDBD72-C392-4489-9F8D-D3D8431CC3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8F4AFE3-9455-419C-8851-785A55F44517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A0E662F-D8B3-48BE-8F60-2DCB3FFA3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384</Words>
  <Characters>1925</Characters>
  <Application>Microsoft Office Word</Application>
  <DocSecurity>0</DocSecurity>
  <Lines>16</Lines>
  <Paragraphs>4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רשומות</vt:lpstr>
      <vt:lpstr>רשומות</vt:lpstr>
    </vt:vector>
  </TitlesOfParts>
  <Company>Knesset</Company>
  <LinksUpToDate>false</LinksUpToDate>
  <CharactersWithSpaces>2305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רשומות</dc:title>
  <dc:creator>מיקה צור</dc:creator>
  <cp:lastModifiedBy>אילת וולברג</cp:lastModifiedBy>
  <cp:revision>11</cp:revision>
  <cp:lastPrinted>2017-07-20T09:04:00Z</cp:lastPrinted>
  <dcterms:created xsi:type="dcterms:W3CDTF">2015-04-20T09:58:00Z</dcterms:created>
  <dcterms:modified xsi:type="dcterms:W3CDTF">2017-07-26T07:01:00Z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0x0101008386EB84DF20CE4D8D9D1A5C7A92FD24</vt:lpwstr>
  </property>
  <property fmtid="{D5CDD505-2E9C-101B-9397-08002B2CF9AE}" pid="3" name="_dlc_DocIdItemGuid">
    <vt:lpwstr>8badafff-95aa-4718-b074-a2d35988ffa8</vt:lpwstr>
  </property>
  <property fmtid="{D5CDD505-2E9C-101B-9397-08002B2CF9AE}" pid="4" name="SanhedrinDocumentType">
    <vt:r8>10</vt:r8>
  </property>
  <property fmtid="{D5CDD505-2E9C-101B-9397-08002B2CF9AE}" pid="5" name="SanhedrinItemID">
    <vt:r8>2018609</vt:r8>
  </property>
</Properties>
</file>