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2020419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עפר שלח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אברהם דיכטר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מרגי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איל בן ראובן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קארין אלהרר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אלעזר שטרן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איתן כבל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פ/4579/20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3AD7DEA2" w14:textId="77777777" w:rsidR="00772437" w:rsidRDefault="00A50623" w:rsidP="00772437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שירות ביטחון (תיקון </w:t>
      </w:r>
      <w:r w:rsidR="00772437">
        <w:rPr>
          <w:rFonts w:hint="eastAsia"/>
          <w:rtl/>
        </w:rPr>
        <w:t>–</w:t>
      </w:r>
      <w:r>
        <w:rPr>
          <w:rFonts w:hint="cs"/>
          <w:rtl/>
        </w:rPr>
        <w:t xml:space="preserve"> הוראות לעניין דחיית שירות מחמת חבלה או מחלה), </w:t>
      </w:r>
    </w:p>
    <w:p w14:paraId="7F6961AD" w14:textId="0684CE7D" w:rsidR="00E13C27" w:rsidRDefault="00A50623" w:rsidP="00772437">
      <w:pPr>
        <w:pStyle w:val="HeadHatzaotHok"/>
        <w:rPr>
          <w:rtl/>
        </w:rPr>
      </w:pPr>
      <w:r>
        <w:rPr>
          <w:rFonts w:hint="cs"/>
          <w:rtl/>
        </w:rPr>
        <w:t>התשע"ז</w:t>
      </w:r>
      <w:r w:rsidR="00772437">
        <w:rPr>
          <w:rFonts w:hint="eastAsia"/>
          <w:rtl/>
        </w:rPr>
        <w:t>–</w:t>
      </w:r>
      <w:r>
        <w:rPr>
          <w:rFonts w:hint="cs"/>
          <w:rtl/>
        </w:rPr>
        <w:t>2017</w:t>
      </w:r>
      <w:bookmarkEnd w:id="7"/>
      <w:r w:rsidR="000C045D">
        <w:rPr>
          <w:rFonts w:hint="cs"/>
          <w:rtl/>
        </w:rPr>
        <w:t xml:space="preserve"> </w:t>
      </w:r>
    </w:p>
    <w:p w14:paraId="7F6961AE" w14:textId="4DC20414" w:rsidR="00E13C27" w:rsidRDefault="00E13C27" w:rsidP="00171FEB">
      <w:pPr>
        <w:widowControl/>
        <w:autoSpaceDE/>
        <w:autoSpaceDN/>
        <w:adjustRightInd/>
        <w:spacing w:before="0" w:after="160" w:line="360" w:lineRule="auto"/>
        <w:ind w:firstLine="0"/>
        <w:jc w:val="left"/>
        <w:textAlignment w:val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tbl>
      <w:tblPr>
        <w:bidiVisual/>
        <w:tblW w:w="964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5"/>
        <w:gridCol w:w="624"/>
        <w:gridCol w:w="624"/>
        <w:gridCol w:w="624"/>
        <w:gridCol w:w="624"/>
        <w:gridCol w:w="4649"/>
      </w:tblGrid>
      <w:tr w:rsidR="00376E8D" w:rsidRPr="00D404CD" w14:paraId="62C95D39" w14:textId="77777777" w:rsidTr="00020ADE">
        <w:trPr>
          <w:cantSplit/>
        </w:trPr>
        <w:tc>
          <w:tcPr>
            <w:tcW w:w="1870" w:type="dxa"/>
          </w:tcPr>
          <w:p w14:paraId="1A6CA76C" w14:textId="5F22F4AF" w:rsidR="00376E8D" w:rsidRPr="00D404CD" w:rsidRDefault="00376E8D" w:rsidP="00376E8D">
            <w:pPr>
              <w:pStyle w:val="TableSideHeading"/>
              <w:ind w:right="0"/>
            </w:pPr>
            <w:r w:rsidRPr="00D404CD">
              <w:rPr>
                <w:rFonts w:hint="cs"/>
                <w:rtl/>
              </w:rPr>
              <w:t xml:space="preserve">הוספת סעיף </w:t>
            </w:r>
            <w:r>
              <w:rPr>
                <w:rFonts w:hint="cs"/>
                <w:rtl/>
              </w:rPr>
              <w:t>36ב</w:t>
            </w:r>
          </w:p>
        </w:tc>
        <w:tc>
          <w:tcPr>
            <w:tcW w:w="625" w:type="dxa"/>
          </w:tcPr>
          <w:p w14:paraId="555FAA2F" w14:textId="51547393" w:rsidR="00376E8D" w:rsidRPr="00D404CD" w:rsidRDefault="00376E8D" w:rsidP="00020ADE">
            <w:pPr>
              <w:pStyle w:val="TableText"/>
              <w:ind w:right="0"/>
              <w:jc w:val="both"/>
            </w:pPr>
            <w:r>
              <w:rPr>
                <w:rFonts w:hint="cs"/>
                <w:rtl/>
              </w:rPr>
              <w:t>1</w:t>
            </w:r>
            <w:r w:rsidRPr="00D404CD">
              <w:rPr>
                <w:rFonts w:hint="cs"/>
                <w:rtl/>
              </w:rPr>
              <w:t>.</w:t>
            </w:r>
          </w:p>
        </w:tc>
        <w:tc>
          <w:tcPr>
            <w:tcW w:w="7145" w:type="dxa"/>
            <w:gridSpan w:val="5"/>
          </w:tcPr>
          <w:p w14:paraId="52109FA5" w14:textId="24920267" w:rsidR="00376E8D" w:rsidRPr="00D404CD" w:rsidRDefault="00376E8D" w:rsidP="00020ADE">
            <w:pPr>
              <w:pStyle w:val="TableBlock"/>
              <w:rPr>
                <w:rtl/>
              </w:rPr>
            </w:pPr>
            <w:r w:rsidRPr="00376E8D">
              <w:rPr>
                <w:rFonts w:hint="cs"/>
                <w:rtl/>
              </w:rPr>
              <w:t>בחוק שירות ביטחון [נוסח משולב], התשמ"ו</w:t>
            </w:r>
            <w:r w:rsidRPr="00376E8D">
              <w:rPr>
                <w:rFonts w:hint="eastAsia"/>
                <w:rtl/>
              </w:rPr>
              <w:t>–</w:t>
            </w:r>
            <w:r w:rsidRPr="00376E8D">
              <w:rPr>
                <w:rFonts w:hint="cs"/>
                <w:rtl/>
              </w:rPr>
              <w:t>1986</w:t>
            </w:r>
            <w:r w:rsidRPr="00376E8D">
              <w:rPr>
                <w:rStyle w:val="a6"/>
                <w:rtl/>
              </w:rPr>
              <w:footnoteReference w:id="2"/>
            </w:r>
            <w:r w:rsidRPr="00376E8D">
              <w:rPr>
                <w:rFonts w:hint="cs"/>
                <w:rtl/>
              </w:rPr>
              <w:t>, אחרי סעיף 36א יבוא:</w:t>
            </w:r>
          </w:p>
        </w:tc>
      </w:tr>
      <w:tr w:rsidR="00376E8D" w:rsidRPr="00D404CD" w14:paraId="36DF8F10" w14:textId="77777777" w:rsidTr="00020ADE">
        <w:trPr>
          <w:cantSplit/>
        </w:trPr>
        <w:tc>
          <w:tcPr>
            <w:tcW w:w="1870" w:type="dxa"/>
          </w:tcPr>
          <w:p w14:paraId="620A3D34" w14:textId="77777777" w:rsidR="00376E8D" w:rsidRPr="00D404CD" w:rsidRDefault="00376E8D" w:rsidP="00020ADE">
            <w:pPr>
              <w:pStyle w:val="TableSideHeading"/>
              <w:ind w:right="0"/>
            </w:pPr>
          </w:p>
        </w:tc>
        <w:tc>
          <w:tcPr>
            <w:tcW w:w="625" w:type="dxa"/>
          </w:tcPr>
          <w:p w14:paraId="3DDAEA81" w14:textId="77777777" w:rsidR="00376E8D" w:rsidRPr="00D404CD" w:rsidRDefault="00376E8D" w:rsidP="00020ADE">
            <w:pPr>
              <w:pStyle w:val="TableText"/>
              <w:ind w:right="0"/>
              <w:jc w:val="both"/>
            </w:pPr>
          </w:p>
        </w:tc>
        <w:tc>
          <w:tcPr>
            <w:tcW w:w="1872" w:type="dxa"/>
            <w:gridSpan w:val="3"/>
          </w:tcPr>
          <w:p w14:paraId="12631EF3" w14:textId="000DC147" w:rsidR="00376E8D" w:rsidRPr="00D404CD" w:rsidRDefault="00376E8D" w:rsidP="00105690">
            <w:pPr>
              <w:pStyle w:val="TableInnerSideHeading"/>
              <w:ind w:right="0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105690">
              <w:rPr>
                <w:rFonts w:hint="cs"/>
                <w:rtl/>
              </w:rPr>
              <w:t>הוראות לעניין דחיית שירות מחמת חבלה או מחלה</w:t>
            </w:r>
            <w:r w:rsidR="008F0210">
              <w:rPr>
                <w:rFonts w:hint="cs"/>
                <w:rtl/>
              </w:rPr>
              <w:t xml:space="preserve"> </w:t>
            </w:r>
          </w:p>
        </w:tc>
        <w:tc>
          <w:tcPr>
            <w:tcW w:w="624" w:type="dxa"/>
          </w:tcPr>
          <w:p w14:paraId="7FA6F9B6" w14:textId="68940B7F" w:rsidR="00376E8D" w:rsidRPr="00D404CD" w:rsidRDefault="00376E8D" w:rsidP="00020ADE">
            <w:pPr>
              <w:pStyle w:val="TableText"/>
              <w:ind w:righ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36ב.</w:t>
            </w:r>
          </w:p>
        </w:tc>
        <w:tc>
          <w:tcPr>
            <w:tcW w:w="4649" w:type="dxa"/>
          </w:tcPr>
          <w:p w14:paraId="43C6A61D" w14:textId="73614B5F" w:rsidR="00376E8D" w:rsidRPr="00D404CD" w:rsidRDefault="00376E8D" w:rsidP="00105690">
            <w:pPr>
              <w:pStyle w:val="TableBlock"/>
              <w:rPr>
                <w:rtl/>
              </w:rPr>
            </w:pPr>
            <w:r w:rsidRPr="00376E8D">
              <w:rPr>
                <w:rFonts w:hint="cs"/>
                <w:rtl/>
              </w:rPr>
              <w:t>(</w:t>
            </w:r>
            <w:r w:rsidRPr="00376E8D">
              <w:rPr>
                <w:rtl/>
              </w:rPr>
              <w:t>א</w:t>
            </w:r>
            <w:r>
              <w:rPr>
                <w:rtl/>
              </w:rPr>
              <w:t>)</w:t>
            </w:r>
            <w:r>
              <w:rPr>
                <w:rtl/>
              </w:rPr>
              <w:tab/>
              <w:t xml:space="preserve"> </w:t>
            </w:r>
            <w:r>
              <w:rPr>
                <w:rFonts w:hint="cs"/>
                <w:rtl/>
              </w:rPr>
              <w:t xml:space="preserve">נמצא חייל בלתי כשיר ארעית לשירות מחמת חבלה או מחלה שאירעה בעת שירותו הצבאי, לא ישוחרר מחובת שירות סדיר עד </w:t>
            </w:r>
            <w:r w:rsidR="00105690">
              <w:rPr>
                <w:rFonts w:hint="cs"/>
                <w:rtl/>
              </w:rPr>
              <w:t>תום שישה חודשים, אלא אם הסתיימה, עד אותו מועד, התקופה שהוא חייב בה</w:t>
            </w:r>
            <w:r w:rsidR="0086394B">
              <w:rPr>
                <w:rFonts w:hint="cs"/>
                <w:rtl/>
              </w:rPr>
              <w:t xml:space="preserve"> לפי סעיף 15 או 16, לפי העניין</w:t>
            </w:r>
            <w:r w:rsidR="00105690">
              <w:rPr>
                <w:rFonts w:hint="cs"/>
                <w:rtl/>
              </w:rPr>
              <w:t xml:space="preserve">. </w:t>
            </w:r>
          </w:p>
        </w:tc>
      </w:tr>
      <w:tr w:rsidR="00376E8D" w14:paraId="16DA787C" w14:textId="77777777" w:rsidTr="00105690">
        <w:trPr>
          <w:cantSplit/>
          <w:trHeight w:val="60"/>
        </w:trPr>
        <w:tc>
          <w:tcPr>
            <w:tcW w:w="1870" w:type="dxa"/>
          </w:tcPr>
          <w:p w14:paraId="17EC083C" w14:textId="54CB13C9" w:rsidR="00376E8D" w:rsidRDefault="00376E8D">
            <w:pPr>
              <w:pStyle w:val="TableSideHeading"/>
            </w:pPr>
          </w:p>
        </w:tc>
        <w:tc>
          <w:tcPr>
            <w:tcW w:w="625" w:type="dxa"/>
          </w:tcPr>
          <w:p w14:paraId="5504B4B2" w14:textId="77777777" w:rsidR="00376E8D" w:rsidRDefault="00376E8D">
            <w:pPr>
              <w:pStyle w:val="TableText"/>
            </w:pPr>
          </w:p>
        </w:tc>
        <w:tc>
          <w:tcPr>
            <w:tcW w:w="624" w:type="dxa"/>
          </w:tcPr>
          <w:p w14:paraId="3094F4C5" w14:textId="77777777" w:rsidR="00376E8D" w:rsidRDefault="00376E8D">
            <w:pPr>
              <w:pStyle w:val="TableText"/>
            </w:pPr>
          </w:p>
        </w:tc>
        <w:tc>
          <w:tcPr>
            <w:tcW w:w="624" w:type="dxa"/>
          </w:tcPr>
          <w:p w14:paraId="5D7EF6D1" w14:textId="77777777" w:rsidR="00376E8D" w:rsidRDefault="00376E8D">
            <w:pPr>
              <w:pStyle w:val="TableText"/>
            </w:pPr>
          </w:p>
        </w:tc>
        <w:tc>
          <w:tcPr>
            <w:tcW w:w="624" w:type="dxa"/>
          </w:tcPr>
          <w:p w14:paraId="6ACF942D" w14:textId="77777777" w:rsidR="00376E8D" w:rsidRDefault="00376E8D">
            <w:pPr>
              <w:pStyle w:val="TableText"/>
            </w:pPr>
          </w:p>
        </w:tc>
        <w:tc>
          <w:tcPr>
            <w:tcW w:w="624" w:type="dxa"/>
          </w:tcPr>
          <w:p w14:paraId="387483E6" w14:textId="77777777" w:rsidR="00376E8D" w:rsidRDefault="00376E8D">
            <w:pPr>
              <w:pStyle w:val="TableText"/>
            </w:pPr>
          </w:p>
        </w:tc>
        <w:tc>
          <w:tcPr>
            <w:tcW w:w="4649" w:type="dxa"/>
          </w:tcPr>
          <w:p w14:paraId="68F4EAA4" w14:textId="0727A02D" w:rsidR="00376E8D" w:rsidRDefault="00376E8D">
            <w:pPr>
              <w:pStyle w:val="TableBlock"/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חלפו שישה חודשים מיום שהחייל נמצא בלתי כשיר ארעית לשירות, יפטור אותו שר הביטחון </w:t>
            </w:r>
            <w:r w:rsidR="00105690">
              <w:rPr>
                <w:rFonts w:hint="cs"/>
                <w:rtl/>
              </w:rPr>
              <w:t>מחובת שירות סדיר".</w:t>
            </w:r>
          </w:p>
        </w:tc>
      </w:tr>
    </w:tbl>
    <w:p w14:paraId="72615567" w14:textId="0372CCC0" w:rsidR="00376E8D" w:rsidRPr="00376E8D" w:rsidRDefault="00376E8D" w:rsidP="00376E8D">
      <w:pPr>
        <w:widowControl/>
        <w:autoSpaceDE/>
        <w:autoSpaceDN/>
        <w:adjustRightInd/>
        <w:spacing w:before="0" w:after="160" w:line="360" w:lineRule="auto"/>
        <w:ind w:firstLine="0"/>
        <w:textAlignment w:val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49EB581" w14:textId="0C0358EE" w:rsidR="000C045D" w:rsidRPr="000C045D" w:rsidRDefault="000C045D" w:rsidP="00171FEB">
      <w:pPr>
        <w:pStyle w:val="Hesber"/>
        <w:rPr>
          <w:rtl/>
        </w:rPr>
      </w:pPr>
      <w:r w:rsidRPr="000C045D">
        <w:rPr>
          <w:rFonts w:hint="cs"/>
          <w:rtl/>
        </w:rPr>
        <w:t xml:space="preserve">אנו עדים למקרים רבים </w:t>
      </w:r>
      <w:r w:rsidR="001622DB">
        <w:rPr>
          <w:rFonts w:hint="cs"/>
          <w:rtl/>
        </w:rPr>
        <w:t>בהם נפגעים</w:t>
      </w:r>
      <w:r w:rsidR="001622DB" w:rsidRPr="000C045D">
        <w:rPr>
          <w:rFonts w:hint="cs"/>
          <w:rtl/>
        </w:rPr>
        <w:t xml:space="preserve"> </w:t>
      </w:r>
      <w:r w:rsidRPr="000C045D">
        <w:rPr>
          <w:rFonts w:hint="cs"/>
          <w:rtl/>
        </w:rPr>
        <w:t xml:space="preserve">חיילים במהלך </w:t>
      </w:r>
      <w:r w:rsidR="001622DB">
        <w:rPr>
          <w:rFonts w:hint="cs"/>
          <w:rtl/>
        </w:rPr>
        <w:t>או</w:t>
      </w:r>
      <w:r w:rsidR="001622DB" w:rsidRPr="000C045D">
        <w:rPr>
          <w:rFonts w:hint="cs"/>
          <w:rtl/>
        </w:rPr>
        <w:t xml:space="preserve"> </w:t>
      </w:r>
      <w:r w:rsidRPr="000C045D">
        <w:rPr>
          <w:rFonts w:hint="cs"/>
          <w:rtl/>
        </w:rPr>
        <w:t xml:space="preserve">כתוצאה משירותם הצבאי. </w:t>
      </w:r>
      <w:r w:rsidR="00105690">
        <w:rPr>
          <w:rFonts w:hint="cs"/>
          <w:rtl/>
        </w:rPr>
        <w:t>ישנם</w:t>
      </w:r>
      <w:r w:rsidR="001557D3">
        <w:rPr>
          <w:rFonts w:hint="cs"/>
          <w:rtl/>
        </w:rPr>
        <w:t xml:space="preserve"> מצבים </w:t>
      </w:r>
      <w:r w:rsidR="00772437">
        <w:rPr>
          <w:rFonts w:hint="cs"/>
          <w:rtl/>
        </w:rPr>
        <w:t>ש</w:t>
      </w:r>
      <w:r w:rsidR="001557D3">
        <w:rPr>
          <w:rFonts w:hint="cs"/>
          <w:rtl/>
        </w:rPr>
        <w:t>בהם</w:t>
      </w:r>
      <w:r w:rsidRPr="000C045D">
        <w:rPr>
          <w:rFonts w:hint="cs"/>
          <w:rtl/>
        </w:rPr>
        <w:t xml:space="preserve"> הצבא </w:t>
      </w:r>
      <w:r w:rsidR="00105690">
        <w:rPr>
          <w:rFonts w:hint="cs"/>
          <w:rtl/>
        </w:rPr>
        <w:t xml:space="preserve">מחליט </w:t>
      </w:r>
      <w:r w:rsidR="0086394B">
        <w:rPr>
          <w:rFonts w:hint="cs"/>
          <w:rtl/>
        </w:rPr>
        <w:t xml:space="preserve">לשחרר את החיילים באופן זמני </w:t>
      </w:r>
      <w:r w:rsidR="001622DB">
        <w:rPr>
          <w:rFonts w:hint="cs"/>
          <w:rtl/>
        </w:rPr>
        <w:t>מ</w:t>
      </w:r>
      <w:r w:rsidR="00E65661">
        <w:rPr>
          <w:rFonts w:hint="cs"/>
          <w:rtl/>
        </w:rPr>
        <w:t>שירות צבאי</w:t>
      </w:r>
      <w:r w:rsidR="00105690">
        <w:rPr>
          <w:rFonts w:hint="cs"/>
          <w:rtl/>
        </w:rPr>
        <w:t>,</w:t>
      </w:r>
      <w:r w:rsidRPr="000C045D">
        <w:rPr>
          <w:rFonts w:hint="cs"/>
          <w:rtl/>
        </w:rPr>
        <w:t xml:space="preserve"> לתקופה </w:t>
      </w:r>
      <w:r w:rsidR="00E65661">
        <w:rPr>
          <w:rFonts w:hint="cs"/>
          <w:rtl/>
        </w:rPr>
        <w:t>שאינה עולה על</w:t>
      </w:r>
      <w:r w:rsidRPr="000C045D">
        <w:rPr>
          <w:rFonts w:hint="cs"/>
          <w:rtl/>
        </w:rPr>
        <w:t xml:space="preserve"> חצי שנה</w:t>
      </w:r>
      <w:r w:rsidR="0086394B">
        <w:rPr>
          <w:rFonts w:hint="cs"/>
          <w:rtl/>
        </w:rPr>
        <w:t xml:space="preserve">, </w:t>
      </w:r>
      <w:r w:rsidR="0086394B" w:rsidRPr="000C045D">
        <w:rPr>
          <w:rFonts w:hint="cs"/>
          <w:rtl/>
        </w:rPr>
        <w:t>ב</w:t>
      </w:r>
      <w:r w:rsidR="0086394B">
        <w:rPr>
          <w:rFonts w:hint="cs"/>
          <w:rtl/>
        </w:rPr>
        <w:t>התאם</w:t>
      </w:r>
      <w:r w:rsidR="0086394B" w:rsidRPr="000C045D">
        <w:rPr>
          <w:rFonts w:hint="cs"/>
          <w:rtl/>
        </w:rPr>
        <w:t xml:space="preserve"> לחוק שירות ביטחון</w:t>
      </w:r>
      <w:r w:rsidR="0086394B">
        <w:rPr>
          <w:rFonts w:hint="cs"/>
          <w:rtl/>
        </w:rPr>
        <w:t xml:space="preserve"> [נוסח משולב], התשמ"ו</w:t>
      </w:r>
      <w:r w:rsidR="0086394B">
        <w:rPr>
          <w:rtl/>
        </w:rPr>
        <w:softHyphen/>
      </w:r>
      <w:r w:rsidR="0086394B" w:rsidRPr="00376E8D">
        <w:rPr>
          <w:rFonts w:hint="eastAsia"/>
          <w:rtl/>
        </w:rPr>
        <w:t>–</w:t>
      </w:r>
      <w:r w:rsidR="0086394B">
        <w:rPr>
          <w:rFonts w:hint="cs"/>
          <w:rtl/>
        </w:rPr>
        <w:t>1986</w:t>
      </w:r>
      <w:r w:rsidR="0086394B" w:rsidRPr="000C045D">
        <w:rPr>
          <w:rFonts w:hint="cs"/>
          <w:rtl/>
        </w:rPr>
        <w:t>.</w:t>
      </w:r>
      <w:r w:rsidR="0086394B">
        <w:rPr>
          <w:rFonts w:hint="cs"/>
          <w:rtl/>
        </w:rPr>
        <w:t xml:space="preserve"> </w:t>
      </w:r>
      <w:r w:rsidR="001622DB">
        <w:rPr>
          <w:rFonts w:hint="cs"/>
          <w:rtl/>
        </w:rPr>
        <w:t>בתקופה זו,</w:t>
      </w:r>
      <w:r w:rsidRPr="000C045D">
        <w:rPr>
          <w:rFonts w:hint="cs"/>
          <w:rtl/>
        </w:rPr>
        <w:t xml:space="preserve"> </w:t>
      </w:r>
      <w:r w:rsidR="001622DB">
        <w:rPr>
          <w:rFonts w:hint="cs"/>
          <w:rtl/>
        </w:rPr>
        <w:t xml:space="preserve">תהליך </w:t>
      </w:r>
      <w:r w:rsidRPr="000C045D">
        <w:rPr>
          <w:rFonts w:hint="cs"/>
          <w:rtl/>
        </w:rPr>
        <w:t>הטיפול ו</w:t>
      </w:r>
      <w:r w:rsidR="001622DB">
        <w:rPr>
          <w:rFonts w:hint="cs"/>
          <w:rtl/>
        </w:rPr>
        <w:t>ה</w:t>
      </w:r>
      <w:r w:rsidRPr="000C045D">
        <w:rPr>
          <w:rFonts w:hint="cs"/>
          <w:rtl/>
        </w:rPr>
        <w:t xml:space="preserve">שיקום </w:t>
      </w:r>
      <w:r w:rsidR="001622DB">
        <w:rPr>
          <w:rFonts w:hint="cs"/>
          <w:rtl/>
        </w:rPr>
        <w:t>באחריותו ו</w:t>
      </w:r>
      <w:r w:rsidR="00105690">
        <w:rPr>
          <w:rFonts w:hint="cs"/>
          <w:rtl/>
        </w:rPr>
        <w:t>ב</w:t>
      </w:r>
      <w:r w:rsidR="001622DB">
        <w:rPr>
          <w:rFonts w:hint="cs"/>
          <w:rtl/>
        </w:rPr>
        <w:t>מימונו של החייל</w:t>
      </w:r>
      <w:r w:rsidR="009E1FDA">
        <w:rPr>
          <w:rFonts w:hint="cs"/>
          <w:rtl/>
        </w:rPr>
        <w:t xml:space="preserve"> הפצוע</w:t>
      </w:r>
      <w:r w:rsidR="0086394B">
        <w:rPr>
          <w:rFonts w:hint="cs"/>
          <w:rtl/>
        </w:rPr>
        <w:t>.</w:t>
      </w:r>
    </w:p>
    <w:p w14:paraId="40BC22A9" w14:textId="7D32D080" w:rsidR="000C045D" w:rsidRPr="000C045D" w:rsidRDefault="000C045D" w:rsidP="00171FEB">
      <w:pPr>
        <w:pStyle w:val="Hesber"/>
        <w:ind w:firstLine="0"/>
        <w:rPr>
          <w:rtl/>
        </w:rPr>
      </w:pPr>
      <w:r w:rsidRPr="000C045D">
        <w:rPr>
          <w:rFonts w:hint="cs"/>
          <w:rtl/>
        </w:rPr>
        <w:t>בתום תקופת ה</w:t>
      </w:r>
      <w:r w:rsidR="001557D3">
        <w:rPr>
          <w:rFonts w:hint="cs"/>
          <w:rtl/>
        </w:rPr>
        <w:t>טיפול וה</w:t>
      </w:r>
      <w:r w:rsidRPr="000C045D">
        <w:rPr>
          <w:rFonts w:hint="cs"/>
          <w:rtl/>
        </w:rPr>
        <w:t>שיקום</w:t>
      </w:r>
      <w:r w:rsidR="001557D3">
        <w:rPr>
          <w:rFonts w:hint="cs"/>
          <w:rtl/>
        </w:rPr>
        <w:t>,</w:t>
      </w:r>
      <w:r w:rsidRPr="000C045D">
        <w:rPr>
          <w:rFonts w:hint="cs"/>
          <w:rtl/>
        </w:rPr>
        <w:t xml:space="preserve"> </w:t>
      </w:r>
      <w:r w:rsidR="001557D3" w:rsidRPr="000C045D">
        <w:rPr>
          <w:rFonts w:hint="cs"/>
          <w:rtl/>
        </w:rPr>
        <w:t>מת</w:t>
      </w:r>
      <w:r w:rsidR="001557D3">
        <w:rPr>
          <w:rFonts w:hint="cs"/>
          <w:rtl/>
        </w:rPr>
        <w:t>כנסת</w:t>
      </w:r>
      <w:r w:rsidR="001557D3" w:rsidRPr="000C045D">
        <w:rPr>
          <w:rFonts w:hint="cs"/>
          <w:rtl/>
        </w:rPr>
        <w:t xml:space="preserve"> </w:t>
      </w:r>
      <w:r w:rsidRPr="000C045D">
        <w:rPr>
          <w:rFonts w:hint="cs"/>
          <w:rtl/>
        </w:rPr>
        <w:t xml:space="preserve">ועדה </w:t>
      </w:r>
      <w:r w:rsidR="001557D3">
        <w:rPr>
          <w:rFonts w:hint="cs"/>
          <w:rtl/>
        </w:rPr>
        <w:t xml:space="preserve">שנועדה לקבוע </w:t>
      </w:r>
      <w:r w:rsidRPr="000C045D">
        <w:rPr>
          <w:rFonts w:hint="cs"/>
          <w:rtl/>
        </w:rPr>
        <w:t xml:space="preserve">האם החייל כשיר </w:t>
      </w:r>
      <w:r w:rsidR="001557D3">
        <w:rPr>
          <w:rFonts w:hint="cs"/>
          <w:rtl/>
        </w:rPr>
        <w:t>לחזור ל</w:t>
      </w:r>
      <w:r w:rsidRPr="000C045D">
        <w:rPr>
          <w:rFonts w:hint="cs"/>
          <w:rtl/>
        </w:rPr>
        <w:t>שירות</w:t>
      </w:r>
      <w:r w:rsidR="009E1FDA">
        <w:rPr>
          <w:rFonts w:hint="cs"/>
          <w:rtl/>
        </w:rPr>
        <w:t>ו</w:t>
      </w:r>
      <w:r w:rsidR="001557D3">
        <w:rPr>
          <w:rFonts w:hint="cs"/>
          <w:rtl/>
        </w:rPr>
        <w:t xml:space="preserve"> </w:t>
      </w:r>
      <w:r w:rsidR="009E1FDA">
        <w:rPr>
          <w:rFonts w:hint="cs"/>
          <w:rtl/>
        </w:rPr>
        <w:t>ה</w:t>
      </w:r>
      <w:r w:rsidR="001557D3">
        <w:rPr>
          <w:rFonts w:hint="cs"/>
          <w:rtl/>
        </w:rPr>
        <w:t>צבאי</w:t>
      </w:r>
      <w:r w:rsidRPr="000C045D">
        <w:rPr>
          <w:rFonts w:hint="cs"/>
          <w:rtl/>
        </w:rPr>
        <w:t>.</w:t>
      </w:r>
      <w:r w:rsidR="001557D3">
        <w:rPr>
          <w:rFonts w:hint="cs"/>
          <w:rtl/>
        </w:rPr>
        <w:t xml:space="preserve"> במקרה </w:t>
      </w:r>
      <w:r w:rsidR="009E1FDA">
        <w:rPr>
          <w:rFonts w:hint="cs"/>
          <w:rtl/>
        </w:rPr>
        <w:t>והוחלט ש</w:t>
      </w:r>
      <w:r w:rsidR="001557D3">
        <w:rPr>
          <w:rFonts w:hint="cs"/>
          <w:rtl/>
        </w:rPr>
        <w:t xml:space="preserve">אינו כשיר, ישוחרר החייל לצמיתות. </w:t>
      </w:r>
      <w:r w:rsidR="001557D3" w:rsidRPr="000C045D">
        <w:rPr>
          <w:rFonts w:hint="cs"/>
          <w:rtl/>
        </w:rPr>
        <w:t>מכיוון שהצבא מגדיר זאת כתקופה זמנית, ה</w:t>
      </w:r>
      <w:r w:rsidR="009E1FDA">
        <w:rPr>
          <w:rFonts w:hint="cs"/>
          <w:rtl/>
        </w:rPr>
        <w:t>חייל ה</w:t>
      </w:r>
      <w:r w:rsidR="001557D3" w:rsidRPr="000C045D">
        <w:rPr>
          <w:rFonts w:hint="cs"/>
          <w:rtl/>
        </w:rPr>
        <w:t xml:space="preserve">משוחרר מצוי בחוסר ודאות </w:t>
      </w:r>
      <w:r w:rsidR="009E1FDA">
        <w:rPr>
          <w:rFonts w:hint="cs"/>
          <w:rtl/>
        </w:rPr>
        <w:t>בנוגע</w:t>
      </w:r>
      <w:r w:rsidR="001557D3" w:rsidRPr="000C045D">
        <w:rPr>
          <w:rFonts w:hint="cs"/>
          <w:rtl/>
        </w:rPr>
        <w:t xml:space="preserve"> </w:t>
      </w:r>
      <w:r w:rsidR="009E1FDA">
        <w:rPr>
          <w:rFonts w:hint="cs"/>
          <w:rtl/>
        </w:rPr>
        <w:t>ל</w:t>
      </w:r>
      <w:r w:rsidR="001557D3" w:rsidRPr="000C045D">
        <w:rPr>
          <w:rFonts w:hint="cs"/>
          <w:rtl/>
        </w:rPr>
        <w:t>עתידו הצבאי ולגבי תוכנ</w:t>
      </w:r>
      <w:r w:rsidR="0086394B">
        <w:rPr>
          <w:rFonts w:hint="cs"/>
          <w:rtl/>
        </w:rPr>
        <w:t>י</w:t>
      </w:r>
      <w:r w:rsidR="001557D3" w:rsidRPr="000C045D">
        <w:rPr>
          <w:rFonts w:hint="cs"/>
          <w:rtl/>
        </w:rPr>
        <w:t>ותיו האפשריות בחיי</w:t>
      </w:r>
      <w:r w:rsidR="009E1FDA">
        <w:rPr>
          <w:rFonts w:hint="cs"/>
          <w:rtl/>
        </w:rPr>
        <w:t>ו</w:t>
      </w:r>
      <w:r w:rsidR="001557D3" w:rsidRPr="000C045D">
        <w:rPr>
          <w:rFonts w:hint="cs"/>
          <w:rtl/>
        </w:rPr>
        <w:t xml:space="preserve"> האזרחיים.</w:t>
      </w:r>
      <w:r w:rsidR="009E1FDA">
        <w:rPr>
          <w:rFonts w:hint="cs"/>
          <w:rtl/>
        </w:rPr>
        <w:t xml:space="preserve"> בשל זמניות התקופה, החייל אינו יכול להתחייב בפני מעסיק כי יעמוד לרשותו לתקופה ארוכה. וכך בשל השחרור הזמני, החייל </w:t>
      </w:r>
      <w:r w:rsidRPr="000C045D">
        <w:rPr>
          <w:rFonts w:hint="cs"/>
          <w:rtl/>
        </w:rPr>
        <w:t xml:space="preserve">נפגע הן בפן הרפואי </w:t>
      </w:r>
      <w:r w:rsidR="001557D3">
        <w:rPr>
          <w:rFonts w:hint="cs"/>
          <w:rtl/>
        </w:rPr>
        <w:t>בשל</w:t>
      </w:r>
      <w:r w:rsidR="001557D3" w:rsidRPr="000C045D">
        <w:rPr>
          <w:rFonts w:hint="cs"/>
          <w:rtl/>
        </w:rPr>
        <w:t xml:space="preserve"> </w:t>
      </w:r>
      <w:r w:rsidR="001557D3">
        <w:rPr>
          <w:rFonts w:hint="cs"/>
          <w:rtl/>
        </w:rPr>
        <w:t>קטיעת</w:t>
      </w:r>
      <w:r w:rsidR="001557D3" w:rsidRPr="000C045D">
        <w:rPr>
          <w:rFonts w:hint="cs"/>
          <w:rtl/>
        </w:rPr>
        <w:t xml:space="preserve"> </w:t>
      </w:r>
      <w:r w:rsidRPr="000C045D">
        <w:rPr>
          <w:rFonts w:hint="cs"/>
          <w:rtl/>
        </w:rPr>
        <w:t>הרצף הטיפולי ו</w:t>
      </w:r>
      <w:r w:rsidRPr="000C045D">
        <w:rPr>
          <w:rtl/>
        </w:rPr>
        <w:t xml:space="preserve">הן בפן הכלכלי, שכן </w:t>
      </w:r>
      <w:r w:rsidR="008F0210">
        <w:rPr>
          <w:rFonts w:hint="cs"/>
          <w:rtl/>
        </w:rPr>
        <w:t xml:space="preserve">כמעט ואינו </w:t>
      </w:r>
      <w:r w:rsidRPr="000C045D">
        <w:rPr>
          <w:rtl/>
        </w:rPr>
        <w:t>יכול להשתכר</w:t>
      </w:r>
      <w:r w:rsidRPr="000C045D">
        <w:rPr>
          <w:rFonts w:hint="cs"/>
          <w:rtl/>
        </w:rPr>
        <w:t>.</w:t>
      </w:r>
    </w:p>
    <w:p w14:paraId="1CD44BDF" w14:textId="73AD4B26" w:rsidR="0086394B" w:rsidRDefault="000C045D" w:rsidP="0086394B">
      <w:pPr>
        <w:pStyle w:val="Hesber"/>
        <w:rPr>
          <w:rtl/>
        </w:rPr>
      </w:pPr>
      <w:r w:rsidRPr="000C045D">
        <w:rPr>
          <w:rFonts w:hint="cs"/>
          <w:rtl/>
        </w:rPr>
        <w:t>הצעת חוק זו</w:t>
      </w:r>
      <w:r w:rsidR="009E1FDA">
        <w:rPr>
          <w:rFonts w:hint="cs"/>
          <w:rtl/>
        </w:rPr>
        <w:t xml:space="preserve"> נועדה לחייב</w:t>
      </w:r>
      <w:r w:rsidR="009E1FDA" w:rsidRPr="000C045D">
        <w:rPr>
          <w:rFonts w:hint="cs"/>
          <w:rtl/>
        </w:rPr>
        <w:t xml:space="preserve"> </w:t>
      </w:r>
      <w:r w:rsidRPr="000C045D">
        <w:rPr>
          <w:rFonts w:hint="cs"/>
          <w:rtl/>
        </w:rPr>
        <w:t>את הצבא ל</w:t>
      </w:r>
      <w:r w:rsidR="009E1FDA">
        <w:rPr>
          <w:rFonts w:hint="cs"/>
          <w:rtl/>
        </w:rPr>
        <w:t xml:space="preserve">קחת </w:t>
      </w:r>
      <w:r w:rsidRPr="000C045D">
        <w:rPr>
          <w:rFonts w:hint="cs"/>
          <w:rtl/>
        </w:rPr>
        <w:t xml:space="preserve">אחריות </w:t>
      </w:r>
      <w:r w:rsidR="009E1FDA">
        <w:rPr>
          <w:rFonts w:hint="cs"/>
          <w:rtl/>
        </w:rPr>
        <w:t>על</w:t>
      </w:r>
      <w:r w:rsidR="009E1FDA" w:rsidRPr="000C045D">
        <w:rPr>
          <w:rFonts w:hint="cs"/>
          <w:rtl/>
        </w:rPr>
        <w:t xml:space="preserve"> </w:t>
      </w:r>
      <w:r w:rsidRPr="000C045D">
        <w:rPr>
          <w:rFonts w:hint="cs"/>
          <w:rtl/>
        </w:rPr>
        <w:t>חיילי</w:t>
      </w:r>
      <w:r w:rsidR="009E1FDA">
        <w:rPr>
          <w:rFonts w:hint="cs"/>
          <w:rtl/>
        </w:rPr>
        <w:t>ם</w:t>
      </w:r>
      <w:r w:rsidRPr="000C045D">
        <w:rPr>
          <w:rFonts w:hint="cs"/>
          <w:rtl/>
        </w:rPr>
        <w:t xml:space="preserve"> </w:t>
      </w:r>
      <w:r w:rsidR="009E1FDA">
        <w:rPr>
          <w:rFonts w:hint="cs"/>
          <w:rtl/>
        </w:rPr>
        <w:t>אלו</w:t>
      </w:r>
      <w:r w:rsidR="009E1FDA" w:rsidRPr="000C045D">
        <w:rPr>
          <w:rFonts w:hint="cs"/>
          <w:rtl/>
        </w:rPr>
        <w:t xml:space="preserve"> </w:t>
      </w:r>
      <w:r w:rsidR="00105690">
        <w:rPr>
          <w:rFonts w:hint="cs"/>
          <w:rtl/>
        </w:rPr>
        <w:t>עד</w:t>
      </w:r>
      <w:r w:rsidRPr="000C045D">
        <w:rPr>
          <w:rFonts w:hint="cs"/>
          <w:rtl/>
        </w:rPr>
        <w:t xml:space="preserve"> שחרור</w:t>
      </w:r>
      <w:r w:rsidR="00105690">
        <w:rPr>
          <w:rFonts w:hint="cs"/>
          <w:rtl/>
        </w:rPr>
        <w:t>ם</w:t>
      </w:r>
      <w:r w:rsidRPr="000C045D">
        <w:rPr>
          <w:rFonts w:hint="cs"/>
          <w:rtl/>
        </w:rPr>
        <w:t xml:space="preserve"> </w:t>
      </w:r>
      <w:r w:rsidR="00105690">
        <w:rPr>
          <w:rFonts w:hint="cs"/>
          <w:rtl/>
        </w:rPr>
        <w:t>המלא משירותם הצבאי</w:t>
      </w:r>
      <w:r w:rsidR="009E1FDA">
        <w:rPr>
          <w:rFonts w:hint="cs"/>
          <w:rtl/>
        </w:rPr>
        <w:t>.</w:t>
      </w:r>
      <w:r w:rsidRPr="000C045D">
        <w:rPr>
          <w:rFonts w:hint="cs"/>
          <w:rtl/>
        </w:rPr>
        <w:t xml:space="preserve"> </w:t>
      </w:r>
      <w:r w:rsidR="0086394B">
        <w:rPr>
          <w:rFonts w:hint="cs"/>
          <w:rtl/>
        </w:rPr>
        <w:t>על כן, מוצע לקבוע כי אם נקבע כי חייל בלתי כש</w:t>
      </w:r>
      <w:r w:rsidR="000A3000">
        <w:rPr>
          <w:rFonts w:hint="cs"/>
          <w:rtl/>
        </w:rPr>
        <w:t>י</w:t>
      </w:r>
      <w:r w:rsidR="0086394B">
        <w:rPr>
          <w:rFonts w:hint="cs"/>
          <w:rtl/>
        </w:rPr>
        <w:t>ר ארעית לשירות, הוא ימשיך להיחשב חייל במשך תקופה של שישה חודשים. בתום תקופה זו, אם עדיין יהיה בלתי כשיר לשירות, ישוחרר לגמרי משירותו הצבאי.</w:t>
      </w:r>
    </w:p>
    <w:p w14:paraId="7EA6F538" w14:textId="44701E28" w:rsidR="00772437" w:rsidRDefault="00772437" w:rsidP="0086394B">
      <w:pPr>
        <w:pStyle w:val="Hesber"/>
        <w:rPr>
          <w:rtl/>
        </w:rPr>
      </w:pPr>
    </w:p>
    <w:p w14:paraId="70D1A83F" w14:textId="77777777" w:rsidR="00772437" w:rsidRPr="00D73212" w:rsidRDefault="00772437" w:rsidP="00772437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363069A8" w14:textId="77777777" w:rsidR="00772437" w:rsidRPr="00D73212" w:rsidRDefault="00772437" w:rsidP="00772437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7A5213BD" w14:textId="77777777" w:rsidR="00772437" w:rsidRPr="00D73212" w:rsidRDefault="00772437" w:rsidP="00772437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39CC4554" w14:textId="77777777" w:rsidR="00772437" w:rsidRPr="00317312" w:rsidRDefault="00772437" w:rsidP="00772437">
      <w:pPr>
        <w:pStyle w:val="Hesber"/>
      </w:pPr>
      <w:r>
        <w:rPr>
          <w:rFonts w:hint="cs"/>
          <w:color w:val="auto"/>
          <w:rtl/>
          <w:lang w:eastAsia="en-US"/>
        </w:rPr>
        <w:t>ג' באב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26.7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p w14:paraId="732097E5" w14:textId="77777777" w:rsidR="00772437" w:rsidRPr="000C045D" w:rsidRDefault="00772437" w:rsidP="0086394B">
      <w:pPr>
        <w:pStyle w:val="Hesber"/>
        <w:rPr>
          <w:rtl/>
        </w:rPr>
      </w:pPr>
      <w:bookmarkStart w:id="8" w:name="_GoBack"/>
      <w:bookmarkEnd w:id="8"/>
    </w:p>
    <w:p w14:paraId="3BAEE0BC" w14:textId="0AC3AEA7" w:rsidR="000C045D" w:rsidRPr="000C045D" w:rsidRDefault="000C045D" w:rsidP="00171FEB">
      <w:pPr>
        <w:pStyle w:val="Hesber"/>
        <w:rPr>
          <w:rtl/>
        </w:rPr>
      </w:pPr>
    </w:p>
    <w:p w14:paraId="3E3B48BB" w14:textId="77777777" w:rsidR="000C045D" w:rsidRDefault="000C045D" w:rsidP="00E13C27">
      <w:pPr>
        <w:pStyle w:val="Hesber"/>
        <w:rPr>
          <w:rtl/>
        </w:rPr>
      </w:pPr>
    </w:p>
    <w:p w14:paraId="18646B0E" w14:textId="6A59F2B7" w:rsidR="000C045D" w:rsidRDefault="000C045D" w:rsidP="00E13C27">
      <w:pPr>
        <w:pStyle w:val="Hesber"/>
        <w:rPr>
          <w:rtl/>
        </w:rPr>
      </w:pPr>
    </w:p>
    <w:sectPr w:rsidR="000C045D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772437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072DD92" w14:textId="77777777" w:rsidR="00376E8D" w:rsidRDefault="00376E8D" w:rsidP="00376E8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התשמ"ו, עמ' 107.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92C00"/>
    <w:multiLevelType w:val="hybridMultilevel"/>
    <w:tmpl w:val="96EC5EFC"/>
    <w:lvl w:ilvl="0" w:tplc="108E5AC4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E261E"/>
    <w:multiLevelType w:val="hybridMultilevel"/>
    <w:tmpl w:val="F36881C4"/>
    <w:lvl w:ilvl="0" w:tplc="1A386026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F4F3A"/>
    <w:multiLevelType w:val="hybridMultilevel"/>
    <w:tmpl w:val="27927C0A"/>
    <w:lvl w:ilvl="0" w:tplc="466C1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F1F88"/>
    <w:multiLevelType w:val="hybridMultilevel"/>
    <w:tmpl w:val="83BC31E0"/>
    <w:lvl w:ilvl="0" w:tplc="11A082E2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555030"/>
    <w:multiLevelType w:val="hybridMultilevel"/>
    <w:tmpl w:val="A16AF462"/>
    <w:lvl w:ilvl="0" w:tplc="F6245DEC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3000"/>
    <w:rsid w:val="000A542E"/>
    <w:rsid w:val="000C045D"/>
    <w:rsid w:val="00102B6B"/>
    <w:rsid w:val="001052D4"/>
    <w:rsid w:val="00105690"/>
    <w:rsid w:val="0010644B"/>
    <w:rsid w:val="001207F8"/>
    <w:rsid w:val="00121924"/>
    <w:rsid w:val="00123C11"/>
    <w:rsid w:val="001279A8"/>
    <w:rsid w:val="0014195F"/>
    <w:rsid w:val="00152609"/>
    <w:rsid w:val="00153E1B"/>
    <w:rsid w:val="00153F71"/>
    <w:rsid w:val="001557D3"/>
    <w:rsid w:val="001622DB"/>
    <w:rsid w:val="00171FE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76E8D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06475"/>
    <w:rsid w:val="00553C9D"/>
    <w:rsid w:val="00561BCB"/>
    <w:rsid w:val="00562A66"/>
    <w:rsid w:val="005B064E"/>
    <w:rsid w:val="005D51AE"/>
    <w:rsid w:val="005F30A3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72437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394B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210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94F5E"/>
    <w:rsid w:val="009A0DB8"/>
    <w:rsid w:val="009A7257"/>
    <w:rsid w:val="009D6E0A"/>
    <w:rsid w:val="009E1E33"/>
    <w:rsid w:val="009E1FDA"/>
    <w:rsid w:val="00A14672"/>
    <w:rsid w:val="00A26BD6"/>
    <w:rsid w:val="00A443CF"/>
    <w:rsid w:val="00A50623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86986"/>
    <w:rsid w:val="00B975AD"/>
    <w:rsid w:val="00BC45FB"/>
    <w:rsid w:val="00BF148D"/>
    <w:rsid w:val="00C23B1A"/>
    <w:rsid w:val="00C310EB"/>
    <w:rsid w:val="00C9176A"/>
    <w:rsid w:val="00C940AD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5661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8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376E8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376E8D"/>
    <w:rPr>
      <w:sz w:val="36"/>
      <w:szCs w:val="52"/>
    </w:rPr>
  </w:style>
  <w:style w:type="paragraph" w:customStyle="1" w:styleId="Cover3-Haknesset">
    <w:name w:val="Cover 3-Haknesset"/>
    <w:basedOn w:val="Cover1-Reshumot"/>
    <w:rsid w:val="00376E8D"/>
    <w:rPr>
      <w:b/>
      <w:bCs/>
      <w:spacing w:val="60"/>
    </w:rPr>
  </w:style>
  <w:style w:type="paragraph" w:customStyle="1" w:styleId="Cover4-Date">
    <w:name w:val="Cover 4-Date"/>
    <w:basedOn w:val="a"/>
    <w:rsid w:val="00376E8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376E8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376E8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376E8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376E8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376E8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376E8D"/>
  </w:style>
  <w:style w:type="paragraph" w:customStyle="1" w:styleId="TableBlock">
    <w:name w:val="Table Block"/>
    <w:basedOn w:val="TableText"/>
    <w:rsid w:val="00376E8D"/>
    <w:pPr>
      <w:ind w:right="0"/>
      <w:jc w:val="both"/>
    </w:pPr>
  </w:style>
  <w:style w:type="paragraph" w:customStyle="1" w:styleId="TableHead">
    <w:name w:val="Table Head"/>
    <w:basedOn w:val="TableText"/>
    <w:rsid w:val="00376E8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376E8D"/>
  </w:style>
  <w:style w:type="paragraph" w:customStyle="1" w:styleId="Hesber">
    <w:name w:val="Hesber"/>
    <w:basedOn w:val="a"/>
    <w:rsid w:val="00376E8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376E8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376E8D"/>
    <w:rPr>
      <w:vertAlign w:val="superscript"/>
    </w:rPr>
  </w:style>
  <w:style w:type="paragraph" w:customStyle="1" w:styleId="HesberHeading">
    <w:name w:val="Hesber Heading"/>
    <w:basedOn w:val="Hesber"/>
    <w:rsid w:val="00376E8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376E8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376E8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376E8D"/>
    <w:rPr>
      <w:vertAlign w:val="superscript"/>
    </w:rPr>
  </w:style>
  <w:style w:type="paragraph" w:customStyle="1" w:styleId="TableBlockOutdent">
    <w:name w:val="Table BlockOutdent"/>
    <w:basedOn w:val="TableBlock"/>
    <w:rsid w:val="00376E8D"/>
    <w:pPr>
      <w:ind w:left="624" w:hanging="624"/>
    </w:pPr>
  </w:style>
  <w:style w:type="paragraph" w:styleId="a8">
    <w:name w:val="header"/>
    <w:basedOn w:val="a"/>
    <w:rsid w:val="00376E8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376E8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376E8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376E8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376E8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376E8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C3A8-50E7-46C3-BB2F-DA519A7E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07CE9D-E288-4BF0-BA82-8CF8E201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340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תהל טהר לב</cp:lastModifiedBy>
  <cp:revision>12</cp:revision>
  <cp:lastPrinted>2017-07-24T13:46:00Z</cp:lastPrinted>
  <dcterms:created xsi:type="dcterms:W3CDTF">2015-04-20T09:58:00Z</dcterms:created>
  <dcterms:modified xsi:type="dcterms:W3CDTF">2017-07-26T07:51:00Z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2020419</vt:r8>
  </property>
</Properties>
</file>