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2019155</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יעל גרמן</w:t>
      </w:r>
      <w:r>
        <w:br/>
      </w:r>
      <w:r>
        <w:rPr>
          <w:rFonts w:hint="cs"/>
          <w:b/>
          <w:bCs/>
          <w:rtl/>
        </w:rPr>
        <w:t xml:space="preserve"> </w:t>
      </w:r>
      <w:r>
        <w:tab/>
      </w:r>
      <w:r>
        <w:tab/>
      </w:r>
      <w:r>
        <w:tab/>
      </w:r>
      <w:r>
        <w:tab/>
      </w:r>
      <w:r>
        <w:rPr>
          <w:rFonts w:hint="cs"/>
          <w:b/>
          <w:bCs/>
          <w:rtl/>
        </w:rPr>
        <w:t>נחמן שי</w:t>
      </w:r>
      <w:r>
        <w:br/>
      </w:r>
      <w:r>
        <w:rPr>
          <w:rFonts w:hint="cs"/>
          <w:b/>
          <w:bCs/>
          <w:rtl/>
        </w:rPr>
        <w:t xml:space="preserve"> </w:t>
      </w:r>
      <w:r>
        <w:tab/>
      </w:r>
      <w:r>
        <w:tab/>
      </w:r>
      <w:r>
        <w:tab/>
      </w:r>
      <w:r>
        <w:tab/>
      </w:r>
      <w:r>
        <w:rPr>
          <w:rFonts w:hint="cs"/>
          <w:b/>
          <w:bCs/>
          <w:rtl/>
        </w:rPr>
        <w:t>חיים ילין</w:t>
      </w:r>
      <w:r>
        <w:br/>
      </w:r>
      <w:r>
        <w:rPr>
          <w:rFonts w:hint="cs"/>
          <w:b/>
          <w:bCs/>
          <w:rtl/>
        </w:rPr>
        <w:t xml:space="preserve"> </w:t>
      </w:r>
      <w:r>
        <w:tab/>
      </w:r>
      <w:r>
        <w:tab/>
      </w:r>
      <w:r>
        <w:tab/>
      </w:r>
      <w:r>
        <w:tab/>
      </w:r>
      <w:r>
        <w:rPr>
          <w:rFonts w:hint="cs"/>
          <w:b/>
          <w:bCs/>
          <w:rtl/>
        </w:rPr>
        <w:t>מיקי רוזנטל</w:t>
      </w:r>
      <w:r>
        <w:br/>
      </w:r>
      <w:r>
        <w:rPr>
          <w:rFonts w:hint="cs"/>
          <w:b/>
          <w:bCs/>
          <w:rtl/>
        </w:rPr>
        <w:t xml:space="preserve"> </w:t>
      </w:r>
      <w:r>
        <w:tab/>
      </w:r>
      <w:r>
        <w:tab/>
      </w:r>
      <w:r>
        <w:tab/>
      </w:r>
      <w:r>
        <w:tab/>
      </w:r>
      <w:r>
        <w:rPr>
          <w:rFonts w:hint="cs"/>
          <w:b/>
          <w:bCs/>
          <w:rtl/>
        </w:rPr>
        <w:t>יוסי יונה</w:t>
      </w:r>
      <w:r>
        <w:br/>
      </w:r>
      <w:r>
        <w:rPr>
          <w:rFonts w:hint="cs"/>
          <w:b/>
          <w:bCs/>
          <w:rtl/>
        </w:rPr>
        <w:t xml:space="preserve"> </w:t>
      </w:r>
      <w:r>
        <w:tab/>
      </w:r>
      <w:r>
        <w:tab/>
      </w:r>
      <w:r>
        <w:tab/>
      </w:r>
      <w:r>
        <w:tab/>
      </w:r>
      <w:r>
        <w:rPr>
          <w:rFonts w:hint="cs"/>
          <w:b/>
          <w:bCs/>
          <w:rtl/>
        </w:rPr>
        <w:t>איל בן ראובן</w:t>
      </w:r>
      <w:bookmarkEnd w:id="3"/>
    </w:p>
    <w:p w14:paraId="4E6BD8E7" w14:textId="399E3A44" w:rsidR="00DB660B" w:rsidRPr="00B73167" w:rsidRDefault="00266D86" w:rsidP="00B73167">
      <w:pPr>
        <w:pStyle w:val="David"/>
        <w:spacing w:before="0" w:line="360" w:lineRule="auto"/>
        <w:ind w:left="3544"/>
        <w:rPr>
          <w:sz w:val="4"/>
          <w:szCs w:val="4"/>
          <w:rtl/>
        </w:rPr>
      </w:pPr>
      <w:r>
        <w:t>____</w:t>
      </w:r>
      <w:r w:rsidR="00E374F2">
        <w:t>__</w:t>
      </w:r>
      <w:r>
        <w:t>________________________________________</w:t>
      </w:r>
      <w:bookmarkStart w:id="4" w:name="_GoBack"/>
      <w:bookmarkEnd w:id="4"/>
    </w:p>
    <w:p w14:paraId="5063DC25" w14:textId="24A71AC2" w:rsidR="00B73167" w:rsidRPr="00B73167" w:rsidRDefault="00B73167" w:rsidP="00DB660B">
      <w:pPr>
        <w:pStyle w:val="HeadHatzaotHok"/>
        <w:rPr>
          <w:b w:val="0"/>
          <w:bCs w:val="0"/>
          <w:rtl/>
        </w:rPr>
      </w:pPr>
      <w:bookmarkStart w:id="5" w:name="LGS_Subject"/>
      <w:r>
        <w:rPr>
          <w:rtl/>
        </w:rPr>
        <w:tab/>
      </w:r>
      <w:r>
        <w:rPr>
          <w:rtl/>
        </w:rPr>
        <w:tab/>
      </w:r>
      <w:r>
        <w:rPr>
          <w:rtl/>
        </w:rPr>
        <w:tab/>
      </w:r>
      <w:r>
        <w:rPr>
          <w:rtl/>
        </w:rPr>
        <w:tab/>
      </w:r>
      <w:r>
        <w:rPr>
          <w:rtl/>
        </w:rPr>
        <w:tab/>
      </w:r>
      <w:r>
        <w:rPr>
          <w:rtl/>
        </w:rPr>
        <w:tab/>
      </w:r>
      <w:r w:rsidRPr="00B73167">
        <w:rPr>
          <w:rFonts w:hint="cs"/>
          <w:b w:val="0"/>
          <w:bCs w:val="0"/>
          <w:rtl/>
        </w:rPr>
        <w:t>פ/4421/20</w:t>
      </w:r>
    </w:p>
    <w:p w14:paraId="45B4FEA7" w14:textId="2361F047" w:rsidR="00DB660B" w:rsidRDefault="00A443CF" w:rsidP="00DB660B">
      <w:pPr>
        <w:pStyle w:val="HeadHatzaotHok"/>
        <w:rPr>
          <w:rtl/>
        </w:rPr>
      </w:pPr>
      <w:r>
        <w:rPr>
          <w:rFonts w:hint="cs"/>
          <w:rtl/>
        </w:rPr>
        <w:t>הצעת חוק פיצוי לנפגעי פוליו (תיקון – פיצוי לנפגע פוליו שנולד מחוץ לישראל ולא טופל בישראל), התשע"ז–2017</w:t>
      </w:r>
      <w:bookmarkEnd w:id="5"/>
    </w:p>
    <w:tbl>
      <w:tblPr>
        <w:bidiVisual/>
        <w:tblW w:w="9636" w:type="dxa"/>
        <w:tblLayout w:type="fixed"/>
        <w:tblCellMar>
          <w:top w:w="57" w:type="dxa"/>
          <w:left w:w="0" w:type="dxa"/>
          <w:bottom w:w="57" w:type="dxa"/>
          <w:right w:w="0" w:type="dxa"/>
        </w:tblCellMar>
        <w:tblLook w:val="04A0" w:firstRow="1" w:lastRow="0" w:firstColumn="1" w:lastColumn="0" w:noHBand="0" w:noVBand="1"/>
      </w:tblPr>
      <w:tblGrid>
        <w:gridCol w:w="1869"/>
        <w:gridCol w:w="623"/>
        <w:gridCol w:w="7144"/>
      </w:tblGrid>
      <w:tr w:rsidR="00DB660B" w14:paraId="35E3BB9E" w14:textId="77777777" w:rsidTr="00DB660B">
        <w:trPr>
          <w:cantSplit/>
        </w:trPr>
        <w:tc>
          <w:tcPr>
            <w:tcW w:w="1869" w:type="dxa"/>
          </w:tcPr>
          <w:p w14:paraId="7FCC7EE4" w14:textId="77777777" w:rsidR="00DB660B" w:rsidRPr="00880078" w:rsidRDefault="00DB660B" w:rsidP="00E95172">
            <w:pPr>
              <w:pStyle w:val="TableSideHeading"/>
              <w:keepLines w:val="0"/>
            </w:pPr>
            <w:r>
              <w:rPr>
                <w:rFonts w:hint="cs"/>
                <w:rtl/>
              </w:rPr>
              <w:t>תיקון סעיף 2</w:t>
            </w:r>
          </w:p>
        </w:tc>
        <w:tc>
          <w:tcPr>
            <w:tcW w:w="623" w:type="dxa"/>
          </w:tcPr>
          <w:p w14:paraId="632CE916" w14:textId="77777777" w:rsidR="00DB660B" w:rsidRPr="00880078" w:rsidRDefault="00DB660B" w:rsidP="00E95172">
            <w:pPr>
              <w:pStyle w:val="TableText"/>
              <w:keepLines w:val="0"/>
              <w:textAlignment w:val="auto"/>
            </w:pPr>
            <w:r>
              <w:rPr>
                <w:rFonts w:hint="cs"/>
                <w:rtl/>
              </w:rPr>
              <w:t>1.</w:t>
            </w:r>
          </w:p>
        </w:tc>
        <w:tc>
          <w:tcPr>
            <w:tcW w:w="7144" w:type="dxa"/>
          </w:tcPr>
          <w:p w14:paraId="4CF6DF5C" w14:textId="5B3486BB" w:rsidR="00DB660B" w:rsidRPr="00DB660B" w:rsidRDefault="00DB660B" w:rsidP="00DB660B">
            <w:pPr>
              <w:pStyle w:val="TableBlock"/>
              <w:rPr>
                <w:sz w:val="26"/>
                <w:rtl/>
              </w:rPr>
            </w:pPr>
            <w:r>
              <w:rPr>
                <w:sz w:val="26"/>
                <w:rtl/>
              </w:rPr>
              <w:t>בחוק פיצוי לנפגעי פוליו, התשס"ז–2007</w:t>
            </w:r>
            <w:r w:rsidRPr="00DB660B">
              <w:rPr>
                <w:szCs w:val="20"/>
                <w:rtl/>
              </w:rPr>
              <w:footnoteReference w:id="2"/>
            </w:r>
            <w:r>
              <w:rPr>
                <w:rFonts w:hint="cs"/>
                <w:sz w:val="26"/>
                <w:rtl/>
              </w:rPr>
              <w:t xml:space="preserve"> </w:t>
            </w:r>
            <w:r>
              <w:rPr>
                <w:sz w:val="26"/>
                <w:rtl/>
              </w:rPr>
              <w:t>(להלן – החוק העיקרי),</w:t>
            </w:r>
            <w:r>
              <w:rPr>
                <w:rFonts w:hint="cs"/>
                <w:sz w:val="26"/>
                <w:rtl/>
              </w:rPr>
              <w:t xml:space="preserve">  בסעיף 2, בהגדרה "נפגע פוליו", אחרי "שבה לקה" יבוא "</w:t>
            </w:r>
            <w:r w:rsidRPr="009C1B2B">
              <w:rPr>
                <w:rFonts w:hint="cs"/>
                <w:sz w:val="26"/>
                <w:rtl/>
              </w:rPr>
              <w:t>או מי שלא חלה בישראל ולא קיבל טיפול רפואי כאמור ושמתקיימים בו תנאים שקבע שר הבריאות</w:t>
            </w:r>
            <w:r>
              <w:rPr>
                <w:rFonts w:hint="cs"/>
                <w:sz w:val="26"/>
                <w:rtl/>
              </w:rPr>
              <w:t>"</w:t>
            </w:r>
            <w:r w:rsidR="000E1523">
              <w:rPr>
                <w:rFonts w:hint="cs"/>
                <w:sz w:val="26"/>
                <w:rtl/>
              </w:rPr>
              <w:t>.</w:t>
            </w:r>
          </w:p>
        </w:tc>
      </w:tr>
      <w:tr w:rsidR="00DB660B" w14:paraId="4A09844D" w14:textId="77777777" w:rsidTr="00DB660B">
        <w:trPr>
          <w:cantSplit/>
        </w:trPr>
        <w:tc>
          <w:tcPr>
            <w:tcW w:w="1869" w:type="dxa"/>
          </w:tcPr>
          <w:p w14:paraId="7CA16527" w14:textId="0D8F6BE9" w:rsidR="00DB660B" w:rsidRDefault="000D484B" w:rsidP="00E95172">
            <w:pPr>
              <w:pStyle w:val="TableSideHeading"/>
              <w:keepLines w:val="0"/>
              <w:rPr>
                <w:rtl/>
              </w:rPr>
            </w:pPr>
            <w:r>
              <w:rPr>
                <w:rFonts w:hint="cs"/>
                <w:rtl/>
              </w:rPr>
              <w:t>תיקון סעיף 12</w:t>
            </w:r>
          </w:p>
        </w:tc>
        <w:tc>
          <w:tcPr>
            <w:tcW w:w="623" w:type="dxa"/>
          </w:tcPr>
          <w:p w14:paraId="56B27151" w14:textId="77777777" w:rsidR="00DB660B" w:rsidRDefault="00DB660B" w:rsidP="00E95172">
            <w:pPr>
              <w:pStyle w:val="TableText"/>
              <w:keepLines w:val="0"/>
              <w:textAlignment w:val="auto"/>
              <w:rPr>
                <w:rtl/>
              </w:rPr>
            </w:pPr>
            <w:r>
              <w:rPr>
                <w:rFonts w:hint="cs"/>
                <w:rtl/>
              </w:rPr>
              <w:t>2.</w:t>
            </w:r>
          </w:p>
        </w:tc>
        <w:tc>
          <w:tcPr>
            <w:tcW w:w="7144" w:type="dxa"/>
          </w:tcPr>
          <w:p w14:paraId="16B21CDA" w14:textId="097AC683" w:rsidR="00DB660B" w:rsidRDefault="000D484B" w:rsidP="000D484B">
            <w:pPr>
              <w:pStyle w:val="TableBlock"/>
              <w:rPr>
                <w:sz w:val="26"/>
                <w:rtl/>
              </w:rPr>
            </w:pPr>
            <w:r>
              <w:rPr>
                <w:rFonts w:hint="cs"/>
                <w:sz w:val="26"/>
                <w:rtl/>
              </w:rPr>
              <w:t>ב</w:t>
            </w:r>
            <w:r w:rsidR="00DB660B">
              <w:rPr>
                <w:rFonts w:hint="cs"/>
                <w:sz w:val="26"/>
                <w:rtl/>
              </w:rPr>
              <w:t>סעיף 12 לחוק העיקרי, האמור בו יסומן "(א)" ואחריו יבוא:</w:t>
            </w:r>
          </w:p>
        </w:tc>
      </w:tr>
      <w:tr w:rsidR="00DB660B" w14:paraId="010236C2" w14:textId="77777777" w:rsidTr="00DB660B">
        <w:trPr>
          <w:cantSplit/>
        </w:trPr>
        <w:tc>
          <w:tcPr>
            <w:tcW w:w="1869" w:type="dxa"/>
          </w:tcPr>
          <w:p w14:paraId="6A256526" w14:textId="77777777" w:rsidR="00DB660B" w:rsidRDefault="00DB660B" w:rsidP="00E95172">
            <w:pPr>
              <w:pStyle w:val="TableSideHeading"/>
              <w:keepLines w:val="0"/>
              <w:rPr>
                <w:rtl/>
              </w:rPr>
            </w:pPr>
          </w:p>
        </w:tc>
        <w:tc>
          <w:tcPr>
            <w:tcW w:w="623" w:type="dxa"/>
          </w:tcPr>
          <w:p w14:paraId="37A64137" w14:textId="77777777" w:rsidR="00DB660B" w:rsidRDefault="00DB660B" w:rsidP="00E95172">
            <w:pPr>
              <w:pStyle w:val="TableText"/>
              <w:keepLines w:val="0"/>
              <w:textAlignment w:val="auto"/>
              <w:rPr>
                <w:rtl/>
              </w:rPr>
            </w:pPr>
          </w:p>
        </w:tc>
        <w:tc>
          <w:tcPr>
            <w:tcW w:w="7144" w:type="dxa"/>
          </w:tcPr>
          <w:p w14:paraId="0020AFBB" w14:textId="43D687A9" w:rsidR="00DB660B" w:rsidRDefault="00DB660B" w:rsidP="000E1523">
            <w:pPr>
              <w:pStyle w:val="TableBlock"/>
              <w:rPr>
                <w:sz w:val="26"/>
                <w:rtl/>
              </w:rPr>
            </w:pPr>
            <w:r>
              <w:rPr>
                <w:rFonts w:hint="cs"/>
                <w:sz w:val="26"/>
                <w:rtl/>
              </w:rPr>
              <w:t>"(ב)</w:t>
            </w:r>
            <w:r>
              <w:rPr>
                <w:sz w:val="26"/>
                <w:rtl/>
              </w:rPr>
              <w:tab/>
            </w:r>
            <w:r>
              <w:rPr>
                <w:rFonts w:hint="cs"/>
                <w:sz w:val="26"/>
                <w:rtl/>
              </w:rPr>
              <w:t xml:space="preserve">שר הבריאות יקבע תנאים </w:t>
            </w:r>
            <w:r w:rsidR="000E1523">
              <w:rPr>
                <w:rFonts w:hint="cs"/>
                <w:sz w:val="26"/>
                <w:rtl/>
              </w:rPr>
              <w:t>להכרה באדם כנפגע פוליו לפי חוק זה גם אם לא חלה במחלה בישראל ולא קיבל טיפול רפואי בשל המחלה בישראל.</w:t>
            </w:r>
            <w:r w:rsidR="00145AC3">
              <w:rPr>
                <w:rFonts w:hint="cs"/>
                <w:sz w:val="26"/>
                <w:rtl/>
              </w:rPr>
              <w:t>"</w:t>
            </w:r>
            <w:r w:rsidR="000E1523">
              <w:rPr>
                <w:rFonts w:hint="cs"/>
                <w:sz w:val="26"/>
                <w:rtl/>
              </w:rPr>
              <w:t xml:space="preserve"> </w:t>
            </w:r>
          </w:p>
        </w:tc>
      </w:tr>
    </w:tbl>
    <w:p w14:paraId="129FD939" w14:textId="36A09C3B" w:rsidR="004605BF" w:rsidRDefault="004605BF" w:rsidP="007405F3">
      <w:pPr>
        <w:pStyle w:val="HeadDivreiHesber"/>
        <w:rPr>
          <w:rtl/>
        </w:rPr>
      </w:pPr>
      <w:r w:rsidRPr="0027450A">
        <w:rPr>
          <w:rFonts w:hint="cs"/>
          <w:rtl/>
        </w:rPr>
        <w:t>דברי הסבר</w:t>
      </w:r>
    </w:p>
    <w:p w14:paraId="1C8876CC" w14:textId="0FE3E7CF" w:rsidR="00784670" w:rsidRPr="003011E4" w:rsidRDefault="00784670" w:rsidP="003011E4">
      <w:pPr>
        <w:pStyle w:val="Hesber"/>
        <w:rPr>
          <w:rtl/>
        </w:rPr>
      </w:pPr>
      <w:r w:rsidRPr="003011E4">
        <w:rPr>
          <w:rtl/>
        </w:rPr>
        <w:t>חוק פיצוי לנפגעי פוליו, התשס"ז–2007</w:t>
      </w:r>
      <w:r w:rsidRPr="003011E4">
        <w:rPr>
          <w:rFonts w:hint="cs"/>
          <w:rtl/>
        </w:rPr>
        <w:t xml:space="preserve"> (להלן</w:t>
      </w:r>
      <w:r w:rsidR="00145AC3" w:rsidRPr="003011E4">
        <w:rPr>
          <w:rFonts w:hint="cs"/>
          <w:rtl/>
        </w:rPr>
        <w:t xml:space="preserve"> </w:t>
      </w:r>
      <w:r w:rsidR="003011E4">
        <w:rPr>
          <w:rFonts w:hint="eastAsia"/>
          <w:rtl/>
        </w:rPr>
        <w:t>–</w:t>
      </w:r>
      <w:r w:rsidRPr="003011E4">
        <w:rPr>
          <w:rFonts w:hint="cs"/>
          <w:rtl/>
        </w:rPr>
        <w:t xml:space="preserve"> החוק)</w:t>
      </w:r>
      <w:r w:rsidRPr="003011E4">
        <w:rPr>
          <w:rtl/>
        </w:rPr>
        <w:t xml:space="preserve"> </w:t>
      </w:r>
      <w:r w:rsidRPr="003011E4">
        <w:rPr>
          <w:rFonts w:hint="cs"/>
          <w:rtl/>
        </w:rPr>
        <w:t>מקנה זכאות לפיצוי רק למי שחלה בשיתוק ילדים בישראל ולמי שקיבל טיפול רפואי בישראל ונותח עד שנת 1970.</w:t>
      </w:r>
      <w:r w:rsidRPr="003011E4">
        <w:t xml:space="preserve"> </w:t>
      </w:r>
    </w:p>
    <w:p w14:paraId="25A12220" w14:textId="270A7AE6" w:rsidR="004605BF" w:rsidRPr="003011E4" w:rsidRDefault="004605BF" w:rsidP="003011E4">
      <w:pPr>
        <w:pStyle w:val="Hesber"/>
        <w:rPr>
          <w:rtl/>
        </w:rPr>
      </w:pPr>
      <w:r w:rsidRPr="003011E4">
        <w:rPr>
          <w:rFonts w:hint="eastAsia"/>
          <w:rtl/>
        </w:rPr>
        <w:t>החוק</w:t>
      </w:r>
      <w:r w:rsidRPr="003011E4">
        <w:rPr>
          <w:rtl/>
        </w:rPr>
        <w:t xml:space="preserve"> במתכונתו הנוכחית מפלה לרעה את מי שחלו במחלה טרם עלייתם לישראל ולא טופלו בישראל כלל או שטופלו בישראל ונותחו אחר</w:t>
      </w:r>
      <w:r w:rsidR="000E1523" w:rsidRPr="003011E4">
        <w:rPr>
          <w:rFonts w:hint="cs"/>
          <w:rtl/>
        </w:rPr>
        <w:t>י</w:t>
      </w:r>
      <w:r w:rsidR="000E1523" w:rsidRPr="003011E4">
        <w:rPr>
          <w:rtl/>
        </w:rPr>
        <w:t xml:space="preserve"> שנת 1970</w:t>
      </w:r>
      <w:r w:rsidR="000E1523" w:rsidRPr="003011E4">
        <w:rPr>
          <w:rFonts w:hint="cs"/>
          <w:rtl/>
        </w:rPr>
        <w:t>.</w:t>
      </w:r>
      <w:r w:rsidRPr="003011E4">
        <w:rPr>
          <w:rtl/>
        </w:rPr>
        <w:t xml:space="preserve"> </w:t>
      </w:r>
    </w:p>
    <w:p w14:paraId="31A6DB5A" w14:textId="394CF39C" w:rsidR="004605BF" w:rsidRDefault="00A87A0B" w:rsidP="003011E4">
      <w:pPr>
        <w:pStyle w:val="Hesber"/>
        <w:rPr>
          <w:rtl/>
        </w:rPr>
      </w:pPr>
      <w:r w:rsidRPr="003011E4">
        <w:rPr>
          <w:rFonts w:hint="cs"/>
          <w:rtl/>
        </w:rPr>
        <w:t>ל</w:t>
      </w:r>
      <w:r w:rsidR="004605BF" w:rsidRPr="003011E4">
        <w:rPr>
          <w:rtl/>
        </w:rPr>
        <w:t xml:space="preserve">ישראל יש מחויבות לעזור ולסייע </w:t>
      </w:r>
      <w:r w:rsidR="004605BF" w:rsidRPr="003011E4">
        <w:rPr>
          <w:rFonts w:hint="cs"/>
          <w:rtl/>
        </w:rPr>
        <w:t>לתושבי</w:t>
      </w:r>
      <w:r w:rsidR="00145AC3" w:rsidRPr="003011E4">
        <w:rPr>
          <w:rFonts w:hint="cs"/>
          <w:rtl/>
        </w:rPr>
        <w:t xml:space="preserve">ה </w:t>
      </w:r>
      <w:r w:rsidR="004605BF" w:rsidRPr="003011E4">
        <w:rPr>
          <w:rFonts w:hint="cs"/>
          <w:rtl/>
        </w:rPr>
        <w:t>החולים במחלת הפוליו</w:t>
      </w:r>
      <w:r w:rsidR="004605BF" w:rsidRPr="003011E4">
        <w:rPr>
          <w:rtl/>
        </w:rPr>
        <w:t xml:space="preserve"> גם אם </w:t>
      </w:r>
      <w:r w:rsidR="004605BF" w:rsidRPr="003011E4">
        <w:rPr>
          <w:rFonts w:hint="eastAsia"/>
          <w:rtl/>
        </w:rPr>
        <w:t>לא</w:t>
      </w:r>
      <w:r w:rsidR="004605BF" w:rsidRPr="003011E4">
        <w:rPr>
          <w:rtl/>
        </w:rPr>
        <w:t xml:space="preserve"> </w:t>
      </w:r>
      <w:r w:rsidR="004605BF" w:rsidRPr="003011E4">
        <w:rPr>
          <w:rFonts w:hint="eastAsia"/>
          <w:rtl/>
        </w:rPr>
        <w:t>נולדו</w:t>
      </w:r>
      <w:r w:rsidR="004605BF" w:rsidRPr="003011E4">
        <w:rPr>
          <w:rtl/>
        </w:rPr>
        <w:t xml:space="preserve"> </w:t>
      </w:r>
      <w:r w:rsidR="004605BF" w:rsidRPr="003011E4">
        <w:rPr>
          <w:rFonts w:hint="eastAsia"/>
          <w:rtl/>
        </w:rPr>
        <w:t>בישראל</w:t>
      </w:r>
      <w:r w:rsidR="004605BF" w:rsidRPr="003011E4">
        <w:rPr>
          <w:rtl/>
        </w:rPr>
        <w:t xml:space="preserve"> </w:t>
      </w:r>
      <w:r w:rsidR="004605BF" w:rsidRPr="003011E4">
        <w:rPr>
          <w:rFonts w:hint="eastAsia"/>
          <w:rtl/>
        </w:rPr>
        <w:t>ולא</w:t>
      </w:r>
      <w:r w:rsidR="004605BF" w:rsidRPr="003011E4">
        <w:rPr>
          <w:rtl/>
        </w:rPr>
        <w:t xml:space="preserve"> </w:t>
      </w:r>
      <w:r w:rsidR="004605BF" w:rsidRPr="003011E4">
        <w:rPr>
          <w:rFonts w:hint="eastAsia"/>
          <w:rtl/>
        </w:rPr>
        <w:t>טופלו</w:t>
      </w:r>
      <w:r w:rsidR="004605BF" w:rsidRPr="003011E4">
        <w:rPr>
          <w:rtl/>
        </w:rPr>
        <w:t xml:space="preserve"> </w:t>
      </w:r>
      <w:r w:rsidR="00145AC3" w:rsidRPr="003011E4">
        <w:rPr>
          <w:rFonts w:hint="eastAsia"/>
          <w:rtl/>
        </w:rPr>
        <w:t>ב</w:t>
      </w:r>
      <w:r w:rsidR="00145AC3" w:rsidRPr="003011E4">
        <w:rPr>
          <w:rFonts w:hint="cs"/>
          <w:rtl/>
        </w:rPr>
        <w:t>ה</w:t>
      </w:r>
      <w:r w:rsidRPr="003011E4">
        <w:rPr>
          <w:rFonts w:hint="cs"/>
          <w:rtl/>
        </w:rPr>
        <w:t>. לפיכך</w:t>
      </w:r>
      <w:r w:rsidR="004605BF" w:rsidRPr="003011E4">
        <w:rPr>
          <w:rtl/>
        </w:rPr>
        <w:t xml:space="preserve"> </w:t>
      </w:r>
      <w:r w:rsidR="004605BF" w:rsidRPr="003011E4">
        <w:rPr>
          <w:rFonts w:hint="eastAsia"/>
          <w:rtl/>
        </w:rPr>
        <w:t>מוצע</w:t>
      </w:r>
      <w:r w:rsidR="004605BF" w:rsidRPr="003011E4">
        <w:rPr>
          <w:rtl/>
        </w:rPr>
        <w:t xml:space="preserve"> </w:t>
      </w:r>
      <w:r w:rsidRPr="003011E4">
        <w:rPr>
          <w:rFonts w:hint="cs"/>
          <w:rtl/>
        </w:rPr>
        <w:t>לקבוע כי שר הבריאות יקבע תנאים להכרה באדם כנפגע פוליו לפי חוק זה גם אם לא חלה במחלה בישראל ולא קיבל טיפול רפואי בשל המחלה בישראל על מנת שיהיה זכאי לתגמולים מכוח החוק.</w:t>
      </w:r>
    </w:p>
    <w:p w14:paraId="21124EAF" w14:textId="77777777" w:rsidR="00B73167" w:rsidRPr="00D73212" w:rsidRDefault="00B73167" w:rsidP="00B73167">
      <w:pPr>
        <w:pStyle w:val="Hesber"/>
        <w:rPr>
          <w:color w:val="auto"/>
          <w:rtl/>
          <w:lang w:eastAsia="en-US"/>
        </w:rPr>
      </w:pPr>
      <w:r w:rsidRPr="00D73212">
        <w:rPr>
          <w:color w:val="auto"/>
          <w:rtl/>
          <w:lang w:eastAsia="en-US"/>
        </w:rPr>
        <w:t>---------------------------------</w:t>
      </w:r>
    </w:p>
    <w:p w14:paraId="566153D5" w14:textId="77777777" w:rsidR="00B73167" w:rsidRPr="00D73212" w:rsidRDefault="00B73167" w:rsidP="00B73167">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ED9FE6C" w14:textId="77777777" w:rsidR="00B73167" w:rsidRPr="00D73212" w:rsidRDefault="00B73167" w:rsidP="00B73167">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3C027297" w14:textId="77777777" w:rsidR="00B73167" w:rsidRPr="00317312" w:rsidRDefault="00B73167" w:rsidP="00B73167">
      <w:pPr>
        <w:pStyle w:val="Hesber"/>
      </w:pPr>
      <w:r>
        <w:rPr>
          <w:rFonts w:hint="cs"/>
          <w:color w:val="auto"/>
          <w:rtl/>
          <w:lang w:eastAsia="en-US"/>
        </w:rPr>
        <w:t>כ"ג בתמוז</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17.7</w:t>
      </w:r>
      <w:r w:rsidRPr="00D73212">
        <w:rPr>
          <w:color w:val="auto"/>
          <w:rtl/>
          <w:lang w:eastAsia="en-US"/>
        </w:rPr>
        <w:t>.</w:t>
      </w:r>
      <w:r>
        <w:rPr>
          <w:rFonts w:hint="cs"/>
          <w:color w:val="auto"/>
          <w:rtl/>
          <w:lang w:eastAsia="en-US"/>
        </w:rPr>
        <w:t>17</w:t>
      </w:r>
    </w:p>
    <w:sectPr w:rsidR="00B73167" w:rsidRPr="00317312" w:rsidSect="00B73167">
      <w:footerReference w:type="even" r:id="rId11"/>
      <w:footerReference w:type="default" r:id="rId12"/>
      <w:pgSz w:w="11907" w:h="16840" w:code="9"/>
      <w:pgMar w:top="993" w:right="1134" w:bottom="851"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B73167">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4CFB6F31" w14:textId="77777777" w:rsidR="00DB660B" w:rsidRDefault="00DB660B" w:rsidP="00DB660B">
      <w:pPr>
        <w:pStyle w:val="a4"/>
      </w:pPr>
      <w:r>
        <w:rPr>
          <w:rStyle w:val="a6"/>
        </w:rPr>
        <w:footnoteRef/>
      </w:r>
      <w:r>
        <w:rPr>
          <w:sz w:val="20"/>
          <w:rtl/>
        </w:rPr>
        <w:t xml:space="preserve"> ס"ח התשס"ז, עמ'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D484B"/>
    <w:rsid w:val="000E1523"/>
    <w:rsid w:val="00102B6B"/>
    <w:rsid w:val="001052D4"/>
    <w:rsid w:val="0010644B"/>
    <w:rsid w:val="001207F8"/>
    <w:rsid w:val="00121924"/>
    <w:rsid w:val="001279A8"/>
    <w:rsid w:val="0014195F"/>
    <w:rsid w:val="00145AC3"/>
    <w:rsid w:val="00152609"/>
    <w:rsid w:val="00153E1B"/>
    <w:rsid w:val="001A0623"/>
    <w:rsid w:val="001A10AA"/>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011E4"/>
    <w:rsid w:val="003232A2"/>
    <w:rsid w:val="00325C14"/>
    <w:rsid w:val="0036422C"/>
    <w:rsid w:val="003710F6"/>
    <w:rsid w:val="00386E88"/>
    <w:rsid w:val="00396585"/>
    <w:rsid w:val="003D6E38"/>
    <w:rsid w:val="003D74A0"/>
    <w:rsid w:val="004033D8"/>
    <w:rsid w:val="004073F0"/>
    <w:rsid w:val="00412A7D"/>
    <w:rsid w:val="00416B4D"/>
    <w:rsid w:val="00417CFC"/>
    <w:rsid w:val="004605BF"/>
    <w:rsid w:val="004A06DC"/>
    <w:rsid w:val="004B24ED"/>
    <w:rsid w:val="004B6625"/>
    <w:rsid w:val="004C5DEE"/>
    <w:rsid w:val="004D2D82"/>
    <w:rsid w:val="004D3876"/>
    <w:rsid w:val="004E4552"/>
    <w:rsid w:val="004E6CDF"/>
    <w:rsid w:val="00553C9D"/>
    <w:rsid w:val="00562A66"/>
    <w:rsid w:val="005B064E"/>
    <w:rsid w:val="005D51AE"/>
    <w:rsid w:val="00620D18"/>
    <w:rsid w:val="0062674B"/>
    <w:rsid w:val="006363B2"/>
    <w:rsid w:val="00644940"/>
    <w:rsid w:val="00651751"/>
    <w:rsid w:val="006712C6"/>
    <w:rsid w:val="006818A9"/>
    <w:rsid w:val="006A2D81"/>
    <w:rsid w:val="006C1D0D"/>
    <w:rsid w:val="006D489F"/>
    <w:rsid w:val="0070601E"/>
    <w:rsid w:val="00712C72"/>
    <w:rsid w:val="00735FE9"/>
    <w:rsid w:val="007405F3"/>
    <w:rsid w:val="00763CAA"/>
    <w:rsid w:val="00765F66"/>
    <w:rsid w:val="00784670"/>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87A0B"/>
    <w:rsid w:val="00A942C1"/>
    <w:rsid w:val="00AA2F03"/>
    <w:rsid w:val="00AC36F7"/>
    <w:rsid w:val="00AC63A4"/>
    <w:rsid w:val="00AD239E"/>
    <w:rsid w:val="00B10265"/>
    <w:rsid w:val="00B16A99"/>
    <w:rsid w:val="00B21211"/>
    <w:rsid w:val="00B35784"/>
    <w:rsid w:val="00B73167"/>
    <w:rsid w:val="00B733A7"/>
    <w:rsid w:val="00B75C91"/>
    <w:rsid w:val="00B975AD"/>
    <w:rsid w:val="00BC45FB"/>
    <w:rsid w:val="00BF148D"/>
    <w:rsid w:val="00C23B1A"/>
    <w:rsid w:val="00C310EB"/>
    <w:rsid w:val="00C9176A"/>
    <w:rsid w:val="00CF1AA2"/>
    <w:rsid w:val="00D17774"/>
    <w:rsid w:val="00D63620"/>
    <w:rsid w:val="00D8410D"/>
    <w:rsid w:val="00D867D7"/>
    <w:rsid w:val="00DB660B"/>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08CD"/>
    <w:rsid w:val="00ED4A6F"/>
    <w:rsid w:val="00EE47D4"/>
    <w:rsid w:val="00EF3A3A"/>
    <w:rsid w:val="00F3378F"/>
    <w:rsid w:val="00F5305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DB660B"/>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7D6D-6258-4E13-A6F3-99D7EEE2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1398BF09-7F21-484D-B3C6-F6634397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234</Words>
  <Characters>1172</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19</cp:revision>
  <cp:lastPrinted>2017-07-13T07:53:00Z</cp:lastPrinted>
  <dcterms:created xsi:type="dcterms:W3CDTF">2015-04-20T09:58:00Z</dcterms:created>
  <dcterms:modified xsi:type="dcterms:W3CDTF">2017-07-13T07:53:00Z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2019155</vt:r8>
  </property>
</Properties>
</file>