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24812" w14:textId="77777777" w:rsidR="007E7AA7" w:rsidRPr="002877CF" w:rsidRDefault="007E7AA7" w:rsidP="007E7AA7">
      <w:pPr>
        <w:pStyle w:val="HeadHatzaotHok"/>
        <w:jc w:val="right"/>
        <w:rPr>
          <w:b w:val="0"/>
          <w:bCs w:val="0"/>
          <w:szCs w:val="20"/>
        </w:rPr>
      </w:pPr>
      <w:r w:rsidRPr="002877CF">
        <w:rPr>
          <w:rFonts w:hint="cs"/>
          <w:b w:val="0"/>
          <w:bCs w:val="0"/>
          <w:szCs w:val="20"/>
          <w:rtl/>
        </w:rPr>
        <w:t xml:space="preserve">מספר פנימי: </w:t>
      </w:r>
      <w:bookmarkStart w:id="0" w:name="LGS_Internal_ID"/>
      <w:r w:rsidRPr="002877CF">
        <w:rPr>
          <w:rFonts w:hint="cs"/>
          <w:b w:val="0"/>
          <w:bCs w:val="0"/>
          <w:szCs w:val="20"/>
          <w:rtl/>
        </w:rPr>
        <w:t>2018132</w:t>
      </w:r>
      <w:bookmarkEnd w:id="0"/>
    </w:p>
    <w:p w14:paraId="6583B4AD" w14:textId="77777777" w:rsidR="007E7AA7" w:rsidRPr="00DB7060" w:rsidRDefault="007E7AA7" w:rsidP="007E7AA7">
      <w:pPr>
        <w:pStyle w:val="HeadHatzaotHok"/>
        <w:rPr>
          <w:sz w:val="28"/>
          <w:szCs w:val="28"/>
          <w:rtl/>
        </w:rPr>
      </w:pPr>
      <w:r w:rsidRPr="00DB7060">
        <w:rPr>
          <w:rFonts w:hint="cs"/>
          <w:sz w:val="28"/>
          <w:szCs w:val="28"/>
          <w:rtl/>
        </w:rPr>
        <w:t xml:space="preserve">הכנסת </w:t>
      </w:r>
      <w:r>
        <w:rPr>
          <w:rFonts w:hint="cs"/>
          <w:sz w:val="28"/>
          <w:szCs w:val="28"/>
          <w:rtl/>
        </w:rPr>
        <w:t>העשרים</w:t>
      </w:r>
    </w:p>
    <w:p w14:paraId="08B73E66" w14:textId="77777777" w:rsidR="007E7AA7" w:rsidRPr="00F67051" w:rsidRDefault="007E7AA7" w:rsidP="007E7AA7">
      <w:pPr>
        <w:rPr>
          <w:rFonts w:cs="David"/>
          <w:b/>
          <w:bCs/>
          <w:sz w:val="26"/>
          <w:szCs w:val="26"/>
          <w:rtl/>
        </w:rPr>
      </w:pPr>
    </w:p>
    <w:p w14:paraId="5B066F51" w14:textId="3FB606C8" w:rsidR="0057558D" w:rsidRDefault="007E7AA7" w:rsidP="00394E20">
      <w:pPr>
        <w:pStyle w:val="David"/>
        <w:spacing w:line="276" w:lineRule="auto"/>
        <w:ind w:left="3544"/>
        <w:rPr>
          <w:b/>
          <w:bCs/>
          <w:rtl/>
        </w:rPr>
      </w:pPr>
      <w:r>
        <w:rPr>
          <w:b/>
          <w:bCs/>
          <w:rtl/>
        </w:rPr>
        <w:t>יוזמת:</w:t>
      </w:r>
      <w:r>
        <w:tab/>
      </w:r>
      <w:r>
        <w:rPr>
          <w:b/>
          <w:bCs/>
          <w:rtl/>
        </w:rPr>
        <w:t xml:space="preserve">      חברת הכנסת</w:t>
      </w:r>
      <w:r w:rsidRPr="00F67051">
        <w:rPr>
          <w:b/>
          <w:bCs/>
        </w:rPr>
        <w:tab/>
      </w:r>
      <w:r>
        <w:rPr>
          <w:rFonts w:hint="cs"/>
          <w:b/>
          <w:bCs/>
          <w:rtl/>
        </w:rPr>
        <w:t>מיכל רוזין</w:t>
      </w:r>
    </w:p>
    <w:p w14:paraId="15ADAD04" w14:textId="35FF3CC8" w:rsidR="00394E20" w:rsidRDefault="00394E20" w:rsidP="00394E20">
      <w:pPr>
        <w:pStyle w:val="David"/>
        <w:spacing w:line="276" w:lineRule="auto"/>
        <w:ind w:left="3544"/>
        <w:rPr>
          <w:b/>
          <w:bCs/>
          <w:rtl/>
        </w:rPr>
      </w:pPr>
      <w:r>
        <w:rPr>
          <w:b/>
          <w:bCs/>
          <w:rtl/>
        </w:rPr>
        <w:tab/>
      </w:r>
      <w:r>
        <w:rPr>
          <w:b/>
          <w:bCs/>
          <w:rtl/>
        </w:rPr>
        <w:tab/>
      </w:r>
      <w:r>
        <w:rPr>
          <w:b/>
          <w:bCs/>
          <w:rtl/>
        </w:rPr>
        <w:tab/>
      </w:r>
      <w:r>
        <w:rPr>
          <w:b/>
          <w:bCs/>
          <w:rtl/>
        </w:rPr>
        <w:tab/>
      </w:r>
      <w:r>
        <w:rPr>
          <w:b/>
          <w:bCs/>
          <w:rtl/>
        </w:rPr>
        <w:tab/>
      </w:r>
      <w:r w:rsidRPr="00394E20">
        <w:rPr>
          <w:b/>
          <w:bCs/>
          <w:rtl/>
        </w:rPr>
        <w:t>אמיר אוחנה</w:t>
      </w:r>
    </w:p>
    <w:p w14:paraId="0A5619B1" w14:textId="77777777" w:rsidR="00394E20" w:rsidRDefault="00394E20" w:rsidP="00394E20">
      <w:pPr>
        <w:pStyle w:val="David"/>
        <w:spacing w:line="276" w:lineRule="auto"/>
        <w:ind w:left="6424" w:firstLine="56"/>
        <w:rPr>
          <w:b/>
          <w:bCs/>
          <w:rtl/>
        </w:rPr>
      </w:pPr>
      <w:r w:rsidRPr="00394E20">
        <w:rPr>
          <w:b/>
          <w:bCs/>
          <w:rtl/>
        </w:rPr>
        <w:t>עאידה תומא סלימאן</w:t>
      </w:r>
    </w:p>
    <w:p w14:paraId="0DF596B6" w14:textId="77777777" w:rsidR="00394E20" w:rsidRDefault="00394E20" w:rsidP="00394E20">
      <w:pPr>
        <w:pStyle w:val="David"/>
        <w:spacing w:line="276" w:lineRule="auto"/>
        <w:ind w:left="6424" w:firstLine="56"/>
        <w:rPr>
          <w:b/>
          <w:bCs/>
          <w:rtl/>
        </w:rPr>
      </w:pPr>
      <w:r>
        <w:rPr>
          <w:rFonts w:hint="cs"/>
          <w:b/>
          <w:bCs/>
          <w:rtl/>
        </w:rPr>
        <w:t>יוסי יונה</w:t>
      </w:r>
    </w:p>
    <w:p w14:paraId="22895512" w14:textId="77777777" w:rsidR="00394E20" w:rsidRDefault="00394E20" w:rsidP="00394E20">
      <w:pPr>
        <w:pStyle w:val="David"/>
        <w:spacing w:line="276" w:lineRule="auto"/>
        <w:ind w:left="6424" w:firstLine="56"/>
        <w:rPr>
          <w:b/>
          <w:bCs/>
          <w:rtl/>
        </w:rPr>
      </w:pPr>
      <w:r>
        <w:rPr>
          <w:rFonts w:hint="cs"/>
          <w:b/>
          <w:bCs/>
          <w:rtl/>
        </w:rPr>
        <w:t>דב חנין</w:t>
      </w:r>
    </w:p>
    <w:p w14:paraId="6124AF31" w14:textId="77777777" w:rsidR="00394E20" w:rsidRDefault="00394E20" w:rsidP="00394E20">
      <w:pPr>
        <w:pStyle w:val="David"/>
        <w:spacing w:line="276" w:lineRule="auto"/>
        <w:ind w:left="6424" w:firstLine="56"/>
        <w:rPr>
          <w:b/>
          <w:bCs/>
          <w:rtl/>
        </w:rPr>
      </w:pPr>
      <w:r>
        <w:rPr>
          <w:rFonts w:hint="cs"/>
          <w:b/>
          <w:bCs/>
          <w:rtl/>
        </w:rPr>
        <w:t>יעל גרמן</w:t>
      </w:r>
    </w:p>
    <w:p w14:paraId="4AD63D75" w14:textId="77777777" w:rsidR="00394E20" w:rsidRDefault="00394E20" w:rsidP="00394E20">
      <w:pPr>
        <w:pStyle w:val="David"/>
        <w:spacing w:line="276" w:lineRule="auto"/>
        <w:ind w:left="6424" w:firstLine="56"/>
        <w:rPr>
          <w:b/>
          <w:bCs/>
          <w:rtl/>
        </w:rPr>
      </w:pPr>
      <w:r>
        <w:rPr>
          <w:rFonts w:hint="cs"/>
          <w:b/>
          <w:bCs/>
          <w:rtl/>
        </w:rPr>
        <w:t>מרב מיכאלי</w:t>
      </w:r>
    </w:p>
    <w:p w14:paraId="5343748E" w14:textId="35DE1EFD" w:rsidR="00394E20" w:rsidRDefault="00394E20" w:rsidP="00394E20">
      <w:pPr>
        <w:pStyle w:val="David"/>
        <w:spacing w:line="276" w:lineRule="auto"/>
        <w:ind w:left="6424" w:firstLine="56"/>
        <w:rPr>
          <w:b/>
          <w:bCs/>
          <w:rtl/>
        </w:rPr>
      </w:pPr>
      <w:r>
        <w:rPr>
          <w:rFonts w:hint="cs"/>
          <w:b/>
          <w:bCs/>
          <w:rtl/>
        </w:rPr>
        <w:t>איציק שמולי</w:t>
      </w:r>
      <w:r w:rsidRPr="00394E20">
        <w:rPr>
          <w:b/>
          <w:bCs/>
          <w:rtl/>
        </w:rPr>
        <w:t xml:space="preserve"> </w:t>
      </w:r>
    </w:p>
    <w:p w14:paraId="7BCFCA4D" w14:textId="04E57A7E" w:rsidR="007E7AA7" w:rsidRPr="00394E20" w:rsidRDefault="00394E20" w:rsidP="00394E20">
      <w:pPr>
        <w:pStyle w:val="David"/>
        <w:spacing w:line="276" w:lineRule="auto"/>
        <w:ind w:left="6424" w:firstLine="56"/>
        <w:rPr>
          <w:b/>
          <w:bCs/>
          <w:rtl/>
        </w:rPr>
      </w:pPr>
      <w:r>
        <w:rPr>
          <w:rFonts w:hint="cs"/>
          <w:b/>
          <w:bCs/>
          <w:rtl/>
        </w:rPr>
        <w:t>תמר זנדברג</w:t>
      </w:r>
    </w:p>
    <w:p w14:paraId="6D90F65D" w14:textId="77777777" w:rsidR="007E7AA7" w:rsidRPr="00904591" w:rsidRDefault="007E7AA7" w:rsidP="007E7AA7">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6D483A81" w14:textId="67BA7B78" w:rsidR="007E7AA7" w:rsidRPr="00E06736" w:rsidRDefault="007E7AA7" w:rsidP="007E7AA7">
      <w:pPr>
        <w:pStyle w:val="David"/>
        <w:spacing w:before="0" w:line="240" w:lineRule="auto"/>
        <w:ind w:left="3544"/>
        <w:rPr>
          <w:rtl/>
        </w:rPr>
      </w:pPr>
      <w:r>
        <w:t xml:space="preserve">                                             </w:t>
      </w:r>
      <w:r w:rsidR="00187918">
        <w:rPr>
          <w:rFonts w:hint="cs"/>
          <w:rtl/>
        </w:rPr>
        <w:t>פ/4440/20</w:t>
      </w:r>
    </w:p>
    <w:p w14:paraId="781F87CD" w14:textId="794E45C0" w:rsidR="00187918" w:rsidRDefault="007E7AA7" w:rsidP="00C053D5">
      <w:pPr>
        <w:pStyle w:val="HeadHatzaotHok"/>
        <w:rPr>
          <w:rtl/>
        </w:rPr>
      </w:pPr>
      <w:bookmarkStart w:id="1" w:name="LGS_Subject"/>
      <w:r>
        <w:rPr>
          <w:rFonts w:hint="cs"/>
          <w:rtl/>
        </w:rPr>
        <w:t>הצעת חוק חובת הכללת אזהרה בפרסום טיפולי המרה לשינוי נטייה מינית, התשע"ז</w:t>
      </w:r>
      <w:r w:rsidR="00C053D5">
        <w:rPr>
          <w:rFonts w:hint="eastAsia"/>
          <w:rtl/>
        </w:rPr>
        <w:t>–</w:t>
      </w:r>
      <w:bookmarkStart w:id="2" w:name="_GoBack"/>
      <w:bookmarkEnd w:id="2"/>
      <w:r>
        <w:rPr>
          <w:rFonts w:hint="cs"/>
          <w:rtl/>
        </w:rPr>
        <w:t>2017</w:t>
      </w:r>
      <w:bookmarkEnd w:id="1"/>
    </w:p>
    <w:p w14:paraId="266FE5E5" w14:textId="77777777" w:rsidR="007E7AA7" w:rsidRDefault="007E7AA7" w:rsidP="007E7AA7">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7E7AA7" w14:paraId="05A52813" w14:textId="77777777" w:rsidTr="00D1123E">
        <w:trPr>
          <w:cantSplit/>
          <w:trHeight w:val="60"/>
        </w:trPr>
        <w:tc>
          <w:tcPr>
            <w:tcW w:w="1871" w:type="dxa"/>
          </w:tcPr>
          <w:p w14:paraId="2DD33E96" w14:textId="77777777" w:rsidR="007E7AA7" w:rsidRDefault="007E7AA7" w:rsidP="00D1123E">
            <w:pPr>
              <w:pStyle w:val="TableSideHeading"/>
              <w:keepLines w:val="0"/>
            </w:pPr>
            <w:r>
              <w:rPr>
                <w:rFonts w:hint="cs"/>
                <w:rtl/>
              </w:rPr>
              <w:t>מטרת החוק</w:t>
            </w:r>
          </w:p>
        </w:tc>
        <w:tc>
          <w:tcPr>
            <w:tcW w:w="624" w:type="dxa"/>
          </w:tcPr>
          <w:p w14:paraId="1C14C368" w14:textId="77777777" w:rsidR="007E7AA7" w:rsidRPr="00904939" w:rsidRDefault="007E7AA7" w:rsidP="00D1123E">
            <w:pPr>
              <w:pStyle w:val="TableText"/>
            </w:pPr>
            <w:r>
              <w:rPr>
                <w:rFonts w:hint="cs"/>
                <w:rtl/>
              </w:rPr>
              <w:t>1.</w:t>
            </w:r>
          </w:p>
        </w:tc>
        <w:tc>
          <w:tcPr>
            <w:tcW w:w="7146" w:type="dxa"/>
          </w:tcPr>
          <w:p w14:paraId="6399281F" w14:textId="77777777" w:rsidR="007E7AA7" w:rsidRPr="00BD1153" w:rsidRDefault="007E7AA7" w:rsidP="00D1123E">
            <w:pPr>
              <w:pStyle w:val="TableHead"/>
              <w:keepLines w:val="0"/>
              <w:jc w:val="left"/>
              <w:rPr>
                <w:b w:val="0"/>
                <w:bCs w:val="0"/>
              </w:rPr>
            </w:pPr>
            <w:r w:rsidRPr="00BD1153">
              <w:rPr>
                <w:rFonts w:hint="cs"/>
                <w:b w:val="0"/>
                <w:bCs w:val="0"/>
                <w:rtl/>
              </w:rPr>
              <w:t>חוק זה מטרתו להחיל חובת אזהרה בפרסום טיפולי המרה והפנייה לטיפולי המרה.</w:t>
            </w:r>
          </w:p>
        </w:tc>
      </w:tr>
      <w:tr w:rsidR="007E7AA7" w14:paraId="669CBB48" w14:textId="77777777" w:rsidTr="00D1123E">
        <w:trPr>
          <w:cantSplit/>
          <w:trHeight w:val="60"/>
        </w:trPr>
        <w:tc>
          <w:tcPr>
            <w:tcW w:w="1871" w:type="dxa"/>
          </w:tcPr>
          <w:p w14:paraId="2BFF0937" w14:textId="31C1536C" w:rsidR="007E7AA7" w:rsidRDefault="0057558D" w:rsidP="00D1123E">
            <w:pPr>
              <w:pStyle w:val="TableSideHeading"/>
              <w:keepLines w:val="0"/>
            </w:pPr>
            <w:r w:rsidRPr="00283260">
              <w:rPr>
                <w:rFonts w:hint="cs"/>
                <w:rtl/>
              </w:rPr>
              <w:t>חובת הכללת אזהרה בפרסום טיפולי המרה לשינוי נטייה מינית</w:t>
            </w:r>
          </w:p>
        </w:tc>
        <w:tc>
          <w:tcPr>
            <w:tcW w:w="624" w:type="dxa"/>
          </w:tcPr>
          <w:p w14:paraId="7211522D" w14:textId="115E508D" w:rsidR="007E7AA7" w:rsidRPr="00904939" w:rsidRDefault="0057558D" w:rsidP="00D1123E">
            <w:pPr>
              <w:pStyle w:val="TableText"/>
            </w:pPr>
            <w:r>
              <w:rPr>
                <w:rFonts w:hint="cs"/>
                <w:rtl/>
              </w:rPr>
              <w:t>2.</w:t>
            </w:r>
          </w:p>
        </w:tc>
        <w:tc>
          <w:tcPr>
            <w:tcW w:w="7146" w:type="dxa"/>
          </w:tcPr>
          <w:p w14:paraId="1D8A8854" w14:textId="313C7137" w:rsidR="007E7AA7" w:rsidRPr="00187918" w:rsidRDefault="0057558D" w:rsidP="00187918">
            <w:pPr>
              <w:pStyle w:val="TableBlock"/>
            </w:pPr>
            <w:r w:rsidRPr="00187918">
              <w:rPr>
                <w:rFonts w:hint="cs"/>
                <w:rtl/>
              </w:rPr>
              <w:t>(א)</w:t>
            </w:r>
            <w:r w:rsidRPr="00187918">
              <w:rPr>
                <w:rtl/>
              </w:rPr>
              <w:tab/>
            </w:r>
            <w:r w:rsidR="00187918" w:rsidRPr="00187918">
              <w:rPr>
                <w:rFonts w:hint="cs"/>
                <w:rtl/>
              </w:rPr>
              <w:t xml:space="preserve">בחוק זה, "טיפולי המרה" </w:t>
            </w:r>
            <w:r w:rsidR="00187918" w:rsidRPr="00187918">
              <w:rPr>
                <w:rFonts w:hint="eastAsia"/>
                <w:rtl/>
              </w:rPr>
              <w:t>–</w:t>
            </w:r>
            <w:r w:rsidR="00187918" w:rsidRPr="00187918">
              <w:rPr>
                <w:rFonts w:hint="cs"/>
              </w:rPr>
              <w:t xml:space="preserve"> </w:t>
            </w:r>
            <w:r w:rsidR="00187918" w:rsidRPr="00187918">
              <w:rPr>
                <w:rFonts w:hint="cs"/>
                <w:rtl/>
              </w:rPr>
              <w:t>אבחון, הערכה, ייעוץ או טיפול, במטרה לנסות לשנות את נטייתו המינית של אדם להטרוסקסואלית או לנסות לשנות את זהותו המגדרית.</w:t>
            </w:r>
          </w:p>
        </w:tc>
      </w:tr>
      <w:tr w:rsidR="007E7AA7" w14:paraId="368722D2" w14:textId="77777777" w:rsidTr="00D1123E">
        <w:trPr>
          <w:cantSplit/>
          <w:trHeight w:val="60"/>
        </w:trPr>
        <w:tc>
          <w:tcPr>
            <w:tcW w:w="1871" w:type="dxa"/>
          </w:tcPr>
          <w:p w14:paraId="25C99EE9" w14:textId="62F37AF7" w:rsidR="007E7AA7" w:rsidRPr="00283260" w:rsidRDefault="007E7AA7" w:rsidP="00D1123E">
            <w:pPr>
              <w:pStyle w:val="TableSideHeading"/>
              <w:ind w:right="0"/>
            </w:pPr>
          </w:p>
        </w:tc>
        <w:tc>
          <w:tcPr>
            <w:tcW w:w="624" w:type="dxa"/>
          </w:tcPr>
          <w:p w14:paraId="42E21DBF" w14:textId="7EEA08C8" w:rsidR="007E7AA7" w:rsidRPr="00904939" w:rsidRDefault="007E7AA7" w:rsidP="00D1123E">
            <w:pPr>
              <w:pStyle w:val="TableText"/>
            </w:pPr>
          </w:p>
        </w:tc>
        <w:tc>
          <w:tcPr>
            <w:tcW w:w="7146" w:type="dxa"/>
          </w:tcPr>
          <w:p w14:paraId="779BFEB3" w14:textId="51FEAA01" w:rsidR="007E7AA7" w:rsidRPr="00C40A58" w:rsidRDefault="0057558D" w:rsidP="00D1123E">
            <w:pPr>
              <w:pStyle w:val="TableBlock"/>
            </w:pPr>
            <w:r>
              <w:rPr>
                <w:rFonts w:hint="cs"/>
                <w:rtl/>
              </w:rPr>
              <w:t>(ב)</w:t>
            </w:r>
            <w:r>
              <w:rPr>
                <w:rtl/>
              </w:rPr>
              <w:tab/>
            </w:r>
            <w:r w:rsidR="007E7AA7">
              <w:rPr>
                <w:rFonts w:hint="cs"/>
                <w:rtl/>
              </w:rPr>
              <w:t xml:space="preserve">לא יפרסם אדם פרסומת ולא ינקוט דרך שיווק אחרת לטיפולי המרה, אלא אם </w:t>
            </w:r>
            <w:r w:rsidR="00187918">
              <w:rPr>
                <w:rFonts w:hint="cs"/>
                <w:rtl/>
              </w:rPr>
              <w:t xml:space="preserve">כן </w:t>
            </w:r>
            <w:r w:rsidR="007E7AA7">
              <w:rPr>
                <w:rFonts w:hint="cs"/>
                <w:rtl/>
              </w:rPr>
              <w:t xml:space="preserve">נכללה בהם אזהרה בנוסח הבא: "אזהרה </w:t>
            </w:r>
            <w:r w:rsidR="007E7AA7">
              <w:rPr>
                <w:rFonts w:hint="eastAsia"/>
                <w:rtl/>
              </w:rPr>
              <w:t>–</w:t>
            </w:r>
            <w:r w:rsidR="007E7AA7">
              <w:rPr>
                <w:rFonts w:hint="cs"/>
                <w:rtl/>
              </w:rPr>
              <w:t xml:space="preserve"> משרד הבריאות קובע כי אין עדויות מחקריות להצלחת שיטה כלשהי לגבי האפשרות להמרה ויש אף עדויות לנזק אפשרי".</w:t>
            </w:r>
          </w:p>
        </w:tc>
      </w:tr>
    </w:tbl>
    <w:p w14:paraId="794FADA0" w14:textId="77777777" w:rsidR="007E7AA7" w:rsidRDefault="007E7AA7" w:rsidP="007E7AA7">
      <w:pPr>
        <w:pStyle w:val="HeadDivreiHesber"/>
        <w:rPr>
          <w:rtl/>
        </w:rPr>
      </w:pPr>
      <w:r w:rsidRPr="0027450A">
        <w:rPr>
          <w:rFonts w:hint="cs"/>
          <w:rtl/>
        </w:rPr>
        <w:t>דברי הסבר</w:t>
      </w:r>
    </w:p>
    <w:p w14:paraId="465ECF4D" w14:textId="14337727" w:rsidR="007E7AA7" w:rsidRDefault="007E7AA7" w:rsidP="002B2B0E">
      <w:pPr>
        <w:pStyle w:val="Hesber"/>
        <w:rPr>
          <w:rtl/>
        </w:rPr>
      </w:pPr>
      <w:r w:rsidRPr="002877CF">
        <w:rPr>
          <w:rFonts w:hint="cs"/>
          <w:rtl/>
        </w:rPr>
        <w:t>משרד הבריאות פרסם ב-5.10.2014 אזהרה לציבור מפני טיפולי המר</w:t>
      </w:r>
      <w:r w:rsidR="00187918">
        <w:rPr>
          <w:rFonts w:hint="cs"/>
          <w:rtl/>
        </w:rPr>
        <w:t>ה לשינוי נטייה מינית. באזהרתו כ</w:t>
      </w:r>
      <w:r w:rsidRPr="002877CF">
        <w:rPr>
          <w:rFonts w:hint="cs"/>
          <w:rtl/>
        </w:rPr>
        <w:t xml:space="preserve">תב משרד הבריאות כי </w:t>
      </w:r>
      <w:r w:rsidRPr="002877CF">
        <w:rPr>
          <w:rtl/>
        </w:rPr>
        <w:t>המטפלים בשיטה זו  מייצרים מצג שווא של הכרה מדעית בשיטה, למרות שבפועל אין עדויות מחקריות להצלחת שיטה כלשהי לגבי האפשרות להמרה</w:t>
      </w:r>
      <w:r w:rsidRPr="002877CF">
        <w:rPr>
          <w:rFonts w:hint="cs"/>
          <w:rtl/>
        </w:rPr>
        <w:t>,</w:t>
      </w:r>
      <w:r w:rsidRPr="002877CF">
        <w:rPr>
          <w:rtl/>
        </w:rPr>
        <w:t xml:space="preserve"> ויש אף עדויות לנזק אפשרי.</w:t>
      </w:r>
      <w:r w:rsidR="00187918">
        <w:rPr>
          <w:rFonts w:hint="cs"/>
          <w:rtl/>
        </w:rPr>
        <w:t xml:space="preserve"> לאזהרה של משרד הבריאות </w:t>
      </w:r>
      <w:r w:rsidRPr="002877CF">
        <w:rPr>
          <w:rFonts w:hint="cs"/>
          <w:rtl/>
        </w:rPr>
        <w:t>צורף נייר עמדה של  הסתדרות הפסיכולוגים בישראל אשר יצא בנובמבר 2011 ובו נאמר, בין היתר, כי "הבסיס המקצועי והעדויות האמפיריות להצלחתם של טיפולי המרה הוא קלוש למדי.</w:t>
      </w:r>
      <w:r>
        <w:rPr>
          <w:rFonts w:hint="cs"/>
          <w:rtl/>
        </w:rPr>
        <w:t xml:space="preserve"> וכי</w:t>
      </w:r>
      <w:r w:rsidRPr="002877CF">
        <w:rPr>
          <w:rFonts w:hint="cs"/>
          <w:rtl/>
        </w:rPr>
        <w:t xml:space="preserve"> הפסיכולוג הסביר אינו יכול להתעלם מגוף הידע המצטבר הקיים, המורה שטיפולי ההמרה אינם </w:t>
      </w:r>
      <w:r w:rsidRPr="002877CF">
        <w:rPr>
          <w:rFonts w:hint="cs"/>
          <w:rtl/>
        </w:rPr>
        <w:lastRenderedPageBreak/>
        <w:t>יעילים".</w:t>
      </w:r>
      <w:r w:rsidR="0057558D">
        <w:rPr>
          <w:rFonts w:hint="cs"/>
          <w:rtl/>
        </w:rPr>
        <w:t xml:space="preserve"> ח</w:t>
      </w:r>
      <w:r w:rsidRPr="009F71FC">
        <w:rPr>
          <w:rFonts w:hint="cs"/>
          <w:rtl/>
        </w:rPr>
        <w:t>מורה מכך היא הקביעה של ארגון הפסיכולוגים האמרי</w:t>
      </w:r>
      <w:r w:rsidR="00187918">
        <w:rPr>
          <w:rFonts w:hint="cs"/>
          <w:rtl/>
        </w:rPr>
        <w:t>קאים, אליה מפנה נייר העמדה,</w:t>
      </w:r>
      <w:r w:rsidRPr="009F71FC">
        <w:rPr>
          <w:rFonts w:hint="cs"/>
          <w:rtl/>
        </w:rPr>
        <w:t xml:space="preserve"> </w:t>
      </w:r>
      <w:r w:rsidRPr="009F71FC">
        <w:t>APA Task Force on Appropriate Therapeutic Responses to Sexual Orientation. (2009). Washington, DC: American Psychological</w:t>
      </w:r>
      <w:r w:rsidRPr="00632700">
        <w:t xml:space="preserve"> Association </w:t>
      </w:r>
      <w:r>
        <w:rPr>
          <w:rFonts w:hint="cs"/>
          <w:rtl/>
        </w:rPr>
        <w:t xml:space="preserve"> , לפיה בצ</w:t>
      </w:r>
      <w:r w:rsidRPr="00632700">
        <w:rPr>
          <w:rFonts w:hint="cs"/>
          <w:rtl/>
        </w:rPr>
        <w:t>דו של טיפול כזה סיכונים הכוללים דיכאון, חרדה ואובדנות</w:t>
      </w:r>
      <w:r w:rsidRPr="002877CF">
        <w:rPr>
          <w:rFonts w:hint="cs"/>
          <w:rtl/>
        </w:rPr>
        <w:t>.</w:t>
      </w:r>
      <w:r w:rsidR="0057558D">
        <w:rPr>
          <w:rFonts w:hint="cs"/>
          <w:rtl/>
        </w:rPr>
        <w:t xml:space="preserve"> </w:t>
      </w:r>
      <w:r w:rsidRPr="002877CF">
        <w:rPr>
          <w:rFonts w:hint="cs"/>
          <w:rtl/>
        </w:rPr>
        <w:t xml:space="preserve">לאור </w:t>
      </w:r>
      <w:r w:rsidRPr="00521B6D">
        <w:rPr>
          <w:rFonts w:hint="eastAsia"/>
          <w:rtl/>
        </w:rPr>
        <w:t>הסכנות</w:t>
      </w:r>
      <w:r w:rsidRPr="00521B6D">
        <w:rPr>
          <w:rtl/>
        </w:rPr>
        <w:t xml:space="preserve"> </w:t>
      </w:r>
      <w:r w:rsidRPr="00521B6D">
        <w:rPr>
          <w:rFonts w:hint="eastAsia"/>
          <w:rtl/>
        </w:rPr>
        <w:t>החמורות</w:t>
      </w:r>
      <w:r w:rsidRPr="00521B6D">
        <w:rPr>
          <w:rtl/>
        </w:rPr>
        <w:t xml:space="preserve"> </w:t>
      </w:r>
      <w:r w:rsidRPr="00521B6D">
        <w:rPr>
          <w:rFonts w:hint="eastAsia"/>
          <w:rtl/>
        </w:rPr>
        <w:t>הכרוכות</w:t>
      </w:r>
      <w:r w:rsidRPr="00521B6D">
        <w:rPr>
          <w:rtl/>
        </w:rPr>
        <w:t xml:space="preserve"> </w:t>
      </w:r>
      <w:r w:rsidRPr="00521B6D">
        <w:rPr>
          <w:rFonts w:hint="eastAsia"/>
          <w:rtl/>
        </w:rPr>
        <w:t>בטיפול</w:t>
      </w:r>
      <w:r w:rsidRPr="00521B6D">
        <w:rPr>
          <w:rtl/>
        </w:rPr>
        <w:t xml:space="preserve"> </w:t>
      </w:r>
      <w:r w:rsidRPr="00521B6D">
        <w:rPr>
          <w:rFonts w:hint="eastAsia"/>
          <w:rtl/>
        </w:rPr>
        <w:t>כזה</w:t>
      </w:r>
      <w:r w:rsidRPr="00521B6D">
        <w:rPr>
          <w:rtl/>
        </w:rPr>
        <w:t xml:space="preserve">, </w:t>
      </w:r>
      <w:r w:rsidRPr="00521B6D">
        <w:rPr>
          <w:rFonts w:hint="eastAsia"/>
          <w:rtl/>
        </w:rPr>
        <w:t>שההוכחות</w:t>
      </w:r>
      <w:r w:rsidRPr="00521B6D">
        <w:rPr>
          <w:rtl/>
        </w:rPr>
        <w:t xml:space="preserve"> ליעילותו קלושות, מן הראוי שהמחוקק </w:t>
      </w:r>
      <w:r>
        <w:rPr>
          <w:rFonts w:hint="cs"/>
          <w:rtl/>
        </w:rPr>
        <w:t>י</w:t>
      </w:r>
      <w:r w:rsidR="00187918">
        <w:rPr>
          <w:rFonts w:hint="cs"/>
          <w:rtl/>
        </w:rPr>
        <w:t>י</w:t>
      </w:r>
      <w:r>
        <w:rPr>
          <w:rFonts w:hint="cs"/>
          <w:rtl/>
        </w:rPr>
        <w:t>תן את הדעת על טיפולים מסוג זה</w:t>
      </w:r>
      <w:r w:rsidRPr="00521B6D">
        <w:rPr>
          <w:rtl/>
        </w:rPr>
        <w:t xml:space="preserve">, </w:t>
      </w:r>
      <w:r>
        <w:rPr>
          <w:rFonts w:hint="cs"/>
          <w:rtl/>
        </w:rPr>
        <w:t>במטרה למנוע את קיום</w:t>
      </w:r>
      <w:r w:rsidRPr="00521B6D">
        <w:rPr>
          <w:rtl/>
        </w:rPr>
        <w:t xml:space="preserve"> </w:t>
      </w:r>
      <w:r w:rsidRPr="00521B6D">
        <w:rPr>
          <w:rFonts w:hint="eastAsia"/>
          <w:rtl/>
        </w:rPr>
        <w:t>פרקטיקה</w:t>
      </w:r>
      <w:r w:rsidRPr="00521B6D">
        <w:rPr>
          <w:rtl/>
        </w:rPr>
        <w:t xml:space="preserve"> </w:t>
      </w:r>
      <w:r w:rsidRPr="00521B6D">
        <w:rPr>
          <w:rFonts w:hint="eastAsia"/>
          <w:rtl/>
        </w:rPr>
        <w:t>זו</w:t>
      </w:r>
      <w:r w:rsidRPr="00521B6D">
        <w:rPr>
          <w:rtl/>
        </w:rPr>
        <w:t xml:space="preserve"> </w:t>
      </w:r>
      <w:r w:rsidRPr="00521B6D">
        <w:rPr>
          <w:rFonts w:hint="eastAsia"/>
          <w:rtl/>
        </w:rPr>
        <w:t>בישראל</w:t>
      </w:r>
      <w:r w:rsidRPr="00521B6D">
        <w:rPr>
          <w:rtl/>
        </w:rPr>
        <w:t xml:space="preserve">. </w:t>
      </w:r>
      <w:r>
        <w:rPr>
          <w:rFonts w:hint="cs"/>
          <w:rtl/>
        </w:rPr>
        <w:t>בהצעת החוק מוצע לקבוע חובת</w:t>
      </w:r>
      <w:r w:rsidRPr="002877CF">
        <w:rPr>
          <w:rFonts w:hint="cs"/>
          <w:rtl/>
        </w:rPr>
        <w:t xml:space="preserve"> אזהרה לכל פרסומת או דרך שיווק</w:t>
      </w:r>
      <w:r>
        <w:rPr>
          <w:rFonts w:hint="cs"/>
          <w:rtl/>
        </w:rPr>
        <w:t>,</w:t>
      </w:r>
      <w:r w:rsidRPr="002877CF">
        <w:rPr>
          <w:rFonts w:hint="cs"/>
          <w:rtl/>
        </w:rPr>
        <w:t xml:space="preserve"> </w:t>
      </w:r>
      <w:r>
        <w:rPr>
          <w:rFonts w:hint="cs"/>
          <w:rtl/>
        </w:rPr>
        <w:t>בכל פנייה למטרת פרסום או שיווק טיפולי המרה, ולהציג את עמדתו של משרד הבריאות בעניין, הקובע כי אין עדויות מחקריות להצלחת שיטה כלשהי לגבי האפשרות להמרה ויש אף עדויות לנזק אפשרי.</w:t>
      </w:r>
    </w:p>
    <w:p w14:paraId="3E43A23D" w14:textId="77777777" w:rsidR="007E7AA7" w:rsidRDefault="007E7AA7" w:rsidP="007E7AA7">
      <w:pPr>
        <w:snapToGrid w:val="0"/>
        <w:spacing w:line="360" w:lineRule="auto"/>
        <w:ind w:right="-709" w:firstLine="0"/>
        <w:rPr>
          <w:rFonts w:ascii="Arial" w:eastAsia="Arial Unicode MS" w:hAnsi="Arial" w:cs="David"/>
          <w:snapToGrid w:val="0"/>
          <w:sz w:val="20"/>
          <w:szCs w:val="26"/>
          <w:rtl/>
        </w:rPr>
      </w:pPr>
    </w:p>
    <w:p w14:paraId="31CCCF64" w14:textId="79B5D817" w:rsidR="00187918" w:rsidRDefault="00187918" w:rsidP="007E7AA7">
      <w:pPr>
        <w:snapToGrid w:val="0"/>
        <w:spacing w:line="360" w:lineRule="auto"/>
        <w:ind w:right="-709" w:firstLine="0"/>
        <w:rPr>
          <w:rFonts w:ascii="Arial" w:eastAsia="Arial Unicode MS" w:hAnsi="Arial" w:cs="David"/>
          <w:snapToGrid w:val="0"/>
          <w:sz w:val="20"/>
          <w:szCs w:val="26"/>
          <w:rtl/>
        </w:rPr>
      </w:pPr>
    </w:p>
    <w:p w14:paraId="702B9753" w14:textId="77777777" w:rsidR="00187918" w:rsidRPr="00D73212" w:rsidRDefault="00187918" w:rsidP="00187918">
      <w:pPr>
        <w:pStyle w:val="Hesber"/>
        <w:rPr>
          <w:color w:val="auto"/>
          <w:rtl/>
          <w:lang w:eastAsia="en-US"/>
        </w:rPr>
      </w:pPr>
      <w:r w:rsidRPr="00D73212">
        <w:rPr>
          <w:color w:val="auto"/>
          <w:rtl/>
          <w:lang w:eastAsia="en-US"/>
        </w:rPr>
        <w:t>---------------------------------</w:t>
      </w:r>
    </w:p>
    <w:p w14:paraId="53593C25" w14:textId="77777777" w:rsidR="00187918" w:rsidRPr="00D73212" w:rsidRDefault="00187918" w:rsidP="00187918">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21652DFC" w14:textId="77777777" w:rsidR="00187918" w:rsidRPr="00D73212" w:rsidRDefault="00187918" w:rsidP="00187918">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41A1EE85" w14:textId="77777777" w:rsidR="00187918" w:rsidRPr="00317312" w:rsidRDefault="00187918" w:rsidP="00187918">
      <w:pPr>
        <w:pStyle w:val="Hesber"/>
      </w:pPr>
      <w:r>
        <w:rPr>
          <w:rFonts w:hint="cs"/>
          <w:color w:val="auto"/>
          <w:rtl/>
          <w:lang w:eastAsia="en-US"/>
        </w:rPr>
        <w:t>כ"ג בתמוז</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17.7</w:t>
      </w:r>
      <w:r w:rsidRPr="00D73212">
        <w:rPr>
          <w:color w:val="auto"/>
          <w:rtl/>
          <w:lang w:eastAsia="en-US"/>
        </w:rPr>
        <w:t>.</w:t>
      </w:r>
      <w:r>
        <w:rPr>
          <w:rFonts w:hint="cs"/>
          <w:color w:val="auto"/>
          <w:rtl/>
          <w:lang w:eastAsia="en-US"/>
        </w:rPr>
        <w:t>17</w:t>
      </w:r>
    </w:p>
    <w:p w14:paraId="0C38CA4E" w14:textId="77777777" w:rsidR="00187918" w:rsidRPr="006F7E4F" w:rsidRDefault="00187918" w:rsidP="007E7AA7">
      <w:pPr>
        <w:snapToGrid w:val="0"/>
        <w:spacing w:line="360" w:lineRule="auto"/>
        <w:ind w:right="-709" w:firstLine="0"/>
        <w:rPr>
          <w:rFonts w:ascii="Arial" w:eastAsia="Arial Unicode MS" w:hAnsi="Arial" w:cs="David"/>
          <w:snapToGrid w:val="0"/>
          <w:sz w:val="20"/>
          <w:szCs w:val="26"/>
          <w:rtl/>
        </w:rPr>
      </w:pPr>
    </w:p>
    <w:p w14:paraId="43B3D77A" w14:textId="77777777" w:rsidR="007E7AA7" w:rsidRPr="00904939" w:rsidRDefault="007E7AA7" w:rsidP="007E7AA7">
      <w:pPr>
        <w:pStyle w:val="Hesber"/>
        <w:rPr>
          <w:rtl/>
        </w:rPr>
      </w:pPr>
    </w:p>
    <w:p w14:paraId="655E2A93" w14:textId="77777777" w:rsidR="007E7AA7" w:rsidRPr="006D2CC0" w:rsidRDefault="007E7AA7" w:rsidP="007E7AA7">
      <w:pPr>
        <w:rPr>
          <w:rtl/>
        </w:rPr>
      </w:pPr>
    </w:p>
    <w:p w14:paraId="7F6961CB" w14:textId="365FDC86" w:rsidR="00E13C27" w:rsidRPr="007E7AA7" w:rsidRDefault="00E13C27" w:rsidP="007E7AA7">
      <w:pPr>
        <w:rPr>
          <w:rtl/>
        </w:rPr>
      </w:pPr>
    </w:p>
    <w:sectPr w:rsidR="00E13C27" w:rsidRPr="007E7AA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C053D5">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C0C92"/>
    <w:multiLevelType w:val="hybridMultilevel"/>
    <w:tmpl w:val="A83A3A6E"/>
    <w:lvl w:ilvl="0" w:tplc="E3EC8326">
      <w:start w:val="1"/>
      <w:numFmt w:val="bullet"/>
      <w:lvlText w:val="-"/>
      <w:lvlJc w:val="left"/>
      <w:pPr>
        <w:ind w:left="720" w:hanging="360"/>
      </w:pPr>
      <w:rPr>
        <w:rFonts w:ascii="David" w:eastAsia="Arial Unicode MS" w:hAnsi="David" w:cs="David"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C6F44"/>
    <w:multiLevelType w:val="hybridMultilevel"/>
    <w:tmpl w:val="6ABE92B4"/>
    <w:lvl w:ilvl="0" w:tplc="10922742">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4600C"/>
    <w:rsid w:val="00063A3E"/>
    <w:rsid w:val="00072CAC"/>
    <w:rsid w:val="0007681A"/>
    <w:rsid w:val="000A542E"/>
    <w:rsid w:val="00102B6B"/>
    <w:rsid w:val="001052D4"/>
    <w:rsid w:val="0010644B"/>
    <w:rsid w:val="001207F8"/>
    <w:rsid w:val="00121924"/>
    <w:rsid w:val="001279A8"/>
    <w:rsid w:val="0014195F"/>
    <w:rsid w:val="00152609"/>
    <w:rsid w:val="00153E1B"/>
    <w:rsid w:val="00187918"/>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3260"/>
    <w:rsid w:val="002877CF"/>
    <w:rsid w:val="00292712"/>
    <w:rsid w:val="002A487D"/>
    <w:rsid w:val="002B2B0E"/>
    <w:rsid w:val="002C2E29"/>
    <w:rsid w:val="002C3041"/>
    <w:rsid w:val="002C3A19"/>
    <w:rsid w:val="002D1EE3"/>
    <w:rsid w:val="002F1D80"/>
    <w:rsid w:val="003232A2"/>
    <w:rsid w:val="00325C14"/>
    <w:rsid w:val="0036422C"/>
    <w:rsid w:val="003710F6"/>
    <w:rsid w:val="00373B4E"/>
    <w:rsid w:val="00386E88"/>
    <w:rsid w:val="00394E20"/>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21B6D"/>
    <w:rsid w:val="00553C9D"/>
    <w:rsid w:val="00562A66"/>
    <w:rsid w:val="00573BF1"/>
    <w:rsid w:val="0057558D"/>
    <w:rsid w:val="005B064E"/>
    <w:rsid w:val="005D51AE"/>
    <w:rsid w:val="0062674B"/>
    <w:rsid w:val="00632700"/>
    <w:rsid w:val="006363B2"/>
    <w:rsid w:val="00637B54"/>
    <w:rsid w:val="00644940"/>
    <w:rsid w:val="006818A9"/>
    <w:rsid w:val="006A2D81"/>
    <w:rsid w:val="006C1D0D"/>
    <w:rsid w:val="006D2CC0"/>
    <w:rsid w:val="006F7E4F"/>
    <w:rsid w:val="0070601E"/>
    <w:rsid w:val="00712C72"/>
    <w:rsid w:val="00735FE9"/>
    <w:rsid w:val="00763CAA"/>
    <w:rsid w:val="00765F66"/>
    <w:rsid w:val="0078664F"/>
    <w:rsid w:val="007C3FA6"/>
    <w:rsid w:val="007D585A"/>
    <w:rsid w:val="007D5A12"/>
    <w:rsid w:val="007E59F9"/>
    <w:rsid w:val="007E7AA7"/>
    <w:rsid w:val="00810BCD"/>
    <w:rsid w:val="00812C98"/>
    <w:rsid w:val="00814D92"/>
    <w:rsid w:val="00823C24"/>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F71FC"/>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65797"/>
    <w:rsid w:val="00B733A7"/>
    <w:rsid w:val="00B75C91"/>
    <w:rsid w:val="00B975AD"/>
    <w:rsid w:val="00BC45FB"/>
    <w:rsid w:val="00BF148D"/>
    <w:rsid w:val="00C053D5"/>
    <w:rsid w:val="00C23B1A"/>
    <w:rsid w:val="00C310EB"/>
    <w:rsid w:val="00C44182"/>
    <w:rsid w:val="00C9176A"/>
    <w:rsid w:val="00CF1AA2"/>
    <w:rsid w:val="00D17774"/>
    <w:rsid w:val="00D32E80"/>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43851"/>
    <w:rsid w:val="00F628D6"/>
    <w:rsid w:val="00F67051"/>
    <w:rsid w:val="00F86A1E"/>
    <w:rsid w:val="00FA5E88"/>
    <w:rsid w:val="00FE2D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B65797"/>
    <w:rPr>
      <w:rFonts w:ascii="Arial" w:eastAsia="Arial Unicode MS" w:hAnsi="Arial" w:cs="David"/>
      <w:snapToGrid w:val="0"/>
      <w:color w:val="000000"/>
      <w:sz w:val="14"/>
      <w:lang w:eastAsia="ja-JP"/>
    </w:rPr>
  </w:style>
  <w:style w:type="paragraph" w:styleId="ae">
    <w:name w:val="List Paragraph"/>
    <w:basedOn w:val="a"/>
    <w:uiPriority w:val="34"/>
    <w:qFormat/>
    <w:rsid w:val="00B65797"/>
    <w:pPr>
      <w:widowControl/>
      <w:autoSpaceDE/>
      <w:autoSpaceDN/>
      <w:bidi w:val="0"/>
      <w:adjustRightInd/>
      <w:spacing w:before="0" w:after="200" w:line="480" w:lineRule="auto"/>
      <w:ind w:left="720" w:firstLine="0"/>
      <w:contextualSpacing/>
      <w:textAlignment w:val="auto"/>
    </w:pPr>
    <w:rPr>
      <w:rFonts w:ascii="David" w:eastAsiaTheme="minorHAnsi" w:hAnsi="David" w:cs="David"/>
      <w:color w:val="auto"/>
      <w:spacing w:val="0"/>
      <w:sz w:val="24"/>
      <w:szCs w:val="24"/>
      <w:lang w:eastAsia="en-US"/>
    </w:rPr>
  </w:style>
  <w:style w:type="paragraph" w:customStyle="1" w:styleId="p00">
    <w:name w:val="p00"/>
    <w:basedOn w:val="a"/>
    <w:rsid w:val="00D32E80"/>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default">
    <w:name w:val="default"/>
    <w:basedOn w:val="a0"/>
    <w:rsid w:val="00D32E80"/>
  </w:style>
  <w:style w:type="character" w:customStyle="1" w:styleId="apple-converted-space">
    <w:name w:val="apple-converted-space"/>
    <w:basedOn w:val="a0"/>
    <w:rsid w:val="00D32E80"/>
  </w:style>
  <w:style w:type="paragraph" w:customStyle="1" w:styleId="p22">
    <w:name w:val="p22"/>
    <w:basedOn w:val="a"/>
    <w:rsid w:val="00D32E80"/>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7EDDFE8-E2DD-4EFC-8AE5-13FDF52D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2EDE4390-2240-4DD3-8652-9F7227F7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366</Words>
  <Characters>1834</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18</cp:revision>
  <cp:lastPrinted>2017-07-16T12:19:00Z</cp:lastPrinted>
  <dcterms:created xsi:type="dcterms:W3CDTF">2015-04-20T09:58:00Z</dcterms:created>
  <dcterms:modified xsi:type="dcterms:W3CDTF">2017-07-16T12:19:00Z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2018132</vt:r8>
  </property>
</Properties>
</file>