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961A1" w14:textId="77777777" w:rsidR="002C2E29" w:rsidRPr="0000131B" w:rsidRDefault="004033D8" w:rsidP="00A443CF">
      <w:pPr>
        <w:pStyle w:val="HeadHatzaotHok"/>
        <w:jc w:val="right"/>
        <w:rPr>
          <w:b w:val="0"/>
          <w:bCs w:val="0"/>
          <w:szCs w:val="20"/>
        </w:rPr>
      </w:pPr>
      <w:r w:rsidRPr="0000131B">
        <w:rPr>
          <w:rFonts w:hint="cs"/>
          <w:b w:val="0"/>
          <w:bCs w:val="0"/>
          <w:szCs w:val="20"/>
          <w:rtl/>
        </w:rPr>
        <w:t xml:space="preserve">מספר פנימי: </w:t>
      </w:r>
      <w:bookmarkStart w:id="0" w:name="LGS_Internal_ID"/>
      <w:r>
        <w:rPr>
          <w:rFonts w:hint="cs"/>
          <w:b w:val="0"/>
          <w:bCs w:val="0"/>
          <w:szCs w:val="20"/>
          <w:rtl/>
        </w:rPr>
        <w:t>2007822</w:t>
      </w:r>
      <w:bookmarkEnd w:id="0"/>
    </w:p>
    <w:p w14:paraId="7F6961A2" w14:textId="53D639AE" w:rsidR="00E13C27" w:rsidRPr="00DB7060" w:rsidRDefault="00E13C27" w:rsidP="00A443CF">
      <w:pPr>
        <w:pStyle w:val="HeadHatzaotHok"/>
        <w:rPr>
          <w:sz w:val="28"/>
          <w:szCs w:val="28"/>
          <w:rtl/>
        </w:rPr>
      </w:pPr>
      <w:r w:rsidRPr="00DB7060">
        <w:rPr>
          <w:rFonts w:hint="cs"/>
          <w:sz w:val="28"/>
          <w:szCs w:val="28"/>
          <w:rtl/>
        </w:rPr>
        <w:t xml:space="preserve">הכנסת </w:t>
      </w:r>
      <w:bookmarkStart w:id="1" w:name="LGS_Knesset_Num"/>
      <w:r>
        <w:rPr>
          <w:rFonts w:hint="cs"/>
          <w:sz w:val="28"/>
          <w:szCs w:val="28"/>
          <w:rtl/>
        </w:rPr>
        <w:t>העשרים</w:t>
      </w:r>
      <w:bookmarkEnd w:id="1"/>
    </w:p>
    <w:p w14:paraId="7F6961A3" w14:textId="77777777" w:rsidR="00E13C27" w:rsidRPr="00F67051" w:rsidRDefault="00E13C27" w:rsidP="00E13C27">
      <w:pPr>
        <w:rPr>
          <w:rFonts w:cs="David"/>
          <w:b/>
          <w:bCs/>
          <w:sz w:val="26"/>
          <w:szCs w:val="26"/>
          <w:rtl/>
        </w:rPr>
      </w:pPr>
    </w:p>
    <w:p w14:paraId="7F6961AA" w14:textId="30BBE958" w:rsidR="00E13C27" w:rsidRPr="00CF1AA2" w:rsidRDefault="008F6665" w:rsidP="000F4DBD">
      <w:pPr>
        <w:pStyle w:val="David"/>
        <w:spacing w:line="360" w:lineRule="auto"/>
        <w:ind w:left="3544"/>
        <w:rPr>
          <w:b/>
          <w:bCs/>
          <w:sz w:val="16"/>
          <w:szCs w:val="16"/>
          <w:rtl/>
        </w:rPr>
      </w:pPr>
      <w:bookmarkStart w:id="2" w:name="LGS_Initiators_List"/>
      <w:r>
        <w:rPr>
          <w:b/>
          <w:bCs/>
          <w:rtl/>
        </w:rPr>
        <w:t>יוזמים:      חברי הכנסת</w:t>
      </w:r>
      <w:bookmarkEnd w:id="2"/>
      <w:r w:rsidR="00B35784" w:rsidRPr="00F67051">
        <w:rPr>
          <w:b/>
          <w:bCs/>
        </w:rPr>
        <w:tab/>
      </w:r>
      <w:bookmarkStart w:id="3" w:name="LGS_PM_Names"/>
      <w:r>
        <w:rPr>
          <w:rFonts w:hint="cs"/>
          <w:b/>
          <w:bCs/>
          <w:rtl/>
        </w:rPr>
        <w:t>רויטל סויד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חיים ילין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יואל חסון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תמר זנדברג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מיכל רוזין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זוהיר בהלול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איתן ברושי</w:t>
      </w:r>
      <w:bookmarkStart w:id="4" w:name="LGS_Join_List"/>
      <w:bookmarkEnd w:id="3"/>
      <w:r w:rsidR="007D585A">
        <w:rPr>
          <w:rtl/>
        </w:rPr>
        <w:t xml:space="preserve"> </w:t>
      </w:r>
      <w:bookmarkEnd w:id="4"/>
      <w:r w:rsidR="002200A1" w:rsidRPr="00CF1AA2">
        <w:rPr>
          <w:rFonts w:hint="cs"/>
          <w:rtl/>
        </w:rPr>
        <w:tab/>
      </w:r>
      <w:bookmarkStart w:id="5" w:name="LGS_PM_NamesJoin"/>
      <w:r w:rsidR="007D585A">
        <w:rPr>
          <w:rFonts w:hint="cs"/>
          <w:rtl/>
        </w:rPr>
        <w:t xml:space="preserve"> </w:t>
      </w:r>
      <w:bookmarkEnd w:id="5"/>
    </w:p>
    <w:p w14:paraId="34DB4103" w14:textId="77777777" w:rsidR="00904591" w:rsidRPr="00904591" w:rsidRDefault="00266D86" w:rsidP="0036422C">
      <w:pPr>
        <w:pStyle w:val="David"/>
        <w:spacing w:before="0" w:line="360" w:lineRule="auto"/>
        <w:ind w:left="3544"/>
        <w:rPr>
          <w:sz w:val="4"/>
          <w:szCs w:val="4"/>
          <w:rtl/>
        </w:rPr>
      </w:pPr>
      <w:r>
        <w:t>____</w:t>
      </w:r>
      <w:r w:rsidR="00E374F2">
        <w:t>__</w:t>
      </w:r>
      <w:r>
        <w:t>________________________________________</w:t>
      </w:r>
      <w:r w:rsidR="00E06736" w:rsidRPr="00E06736"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904591">
        <w:t xml:space="preserve">           </w:t>
      </w:r>
    </w:p>
    <w:p w14:paraId="7F6961AC" w14:textId="4C6525D8" w:rsidR="00E13C27" w:rsidRDefault="00904591" w:rsidP="00EF3358">
      <w:pPr>
        <w:pStyle w:val="David"/>
        <w:spacing w:before="0" w:line="240" w:lineRule="auto"/>
        <w:ind w:left="3544"/>
        <w:rPr>
          <w:rtl/>
        </w:rPr>
      </w:pPr>
      <w:r>
        <w:t xml:space="preserve">                                            </w:t>
      </w:r>
      <w:r w:rsidR="008F1308">
        <w:t xml:space="preserve"> </w:t>
      </w:r>
      <w:bookmarkStart w:id="6" w:name="Private_Number"/>
      <w:r>
        <w:rPr>
          <w:rFonts w:hint="cs"/>
          <w:rtl/>
        </w:rPr>
        <w:t>פ/4345/20</w:t>
      </w:r>
      <w:bookmarkEnd w:id="6"/>
    </w:p>
    <w:p w14:paraId="7F6961AD" w14:textId="77777777" w:rsidR="00E13C27" w:rsidRPr="00F67051" w:rsidRDefault="00A443CF" w:rsidP="0021633A">
      <w:pPr>
        <w:pStyle w:val="HeadHatzaotHok"/>
        <w:rPr>
          <w:rtl/>
        </w:rPr>
      </w:pPr>
      <w:bookmarkStart w:id="7" w:name="LGS_Subject"/>
      <w:r>
        <w:rPr>
          <w:rFonts w:hint="cs"/>
          <w:rtl/>
        </w:rPr>
        <w:t>הצעת חוק הביטוח הלאומי (תיקון – נכה שהגיע לגיל פרישה), התשע"ז–2017</w:t>
      </w:r>
      <w:bookmarkEnd w:id="7"/>
    </w:p>
    <w:p w14:paraId="7F6961AE" w14:textId="77777777" w:rsidR="00E13C27" w:rsidRDefault="00E13C27" w:rsidP="0021633A">
      <w:pPr>
        <w:pStyle w:val="HeadDivreiHesber"/>
        <w:spacing w:before="0" w:after="0"/>
        <w:rPr>
          <w:rtl/>
        </w:rPr>
      </w:pPr>
    </w:p>
    <w:tbl>
      <w:tblPr>
        <w:bidiVisual/>
        <w:tblW w:w="9638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7143"/>
      </w:tblGrid>
      <w:tr w:rsidR="00343430" w14:paraId="035EEF3D" w14:textId="77777777" w:rsidTr="00343430">
        <w:trPr>
          <w:cantSplit/>
        </w:trPr>
        <w:tc>
          <w:tcPr>
            <w:tcW w:w="1871" w:type="dxa"/>
          </w:tcPr>
          <w:p w14:paraId="3863FF98" w14:textId="0B5F3032" w:rsidR="00343430" w:rsidRDefault="00343430" w:rsidP="00343430">
            <w:pPr>
              <w:pStyle w:val="TableSideHeading"/>
              <w:keepLines w:val="0"/>
            </w:pPr>
            <w:r>
              <w:rPr>
                <w:sz w:val="26"/>
                <w:rtl/>
              </w:rPr>
              <w:t>תיקון סעיף 195</w:t>
            </w:r>
          </w:p>
        </w:tc>
        <w:tc>
          <w:tcPr>
            <w:tcW w:w="624" w:type="dxa"/>
          </w:tcPr>
          <w:p w14:paraId="6F513EF6" w14:textId="4FBC0729" w:rsidR="00343430" w:rsidRDefault="00343430" w:rsidP="00343430">
            <w:pPr>
              <w:pStyle w:val="TableText"/>
              <w:keepLines w:val="0"/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7143" w:type="dxa"/>
          </w:tcPr>
          <w:p w14:paraId="1AE94DEB" w14:textId="5A70D0B6" w:rsidR="00343430" w:rsidRPr="00C34DE2" w:rsidRDefault="00343430" w:rsidP="004A68A8">
            <w:pPr>
              <w:pStyle w:val="TableBlock"/>
            </w:pPr>
            <w:r>
              <w:rPr>
                <w:sz w:val="26"/>
                <w:rtl/>
              </w:rPr>
              <w:t>בחוק הביטוח הלאומי [נוסח משולב], התשנ"ה–1995</w:t>
            </w:r>
            <w:r>
              <w:rPr>
                <w:rStyle w:val="a6"/>
                <w:sz w:val="26"/>
                <w:rtl/>
              </w:rPr>
              <w:footnoteReference w:id="2"/>
            </w:r>
            <w:r>
              <w:rPr>
                <w:sz w:val="26"/>
                <w:rtl/>
              </w:rPr>
              <w:t xml:space="preserve"> (להלן – החוק העיקרי), בסעיף 195, בהגדרה "מבוטח", </w:t>
            </w:r>
            <w:r w:rsidR="004A68A8">
              <w:rPr>
                <w:rFonts w:hint="cs"/>
                <w:sz w:val="26"/>
                <w:rtl/>
              </w:rPr>
              <w:t xml:space="preserve">המילים "וטרם הגיע לגיל הפרישה" </w:t>
            </w:r>
            <w:r w:rsidR="004A68A8">
              <w:rPr>
                <w:rFonts w:hint="eastAsia"/>
                <w:sz w:val="26"/>
                <w:rtl/>
              </w:rPr>
              <w:t>– יימח</w:t>
            </w:r>
            <w:r w:rsidR="004A68A8">
              <w:rPr>
                <w:rFonts w:hint="cs"/>
                <w:sz w:val="26"/>
                <w:rtl/>
              </w:rPr>
              <w:t xml:space="preserve">קו. </w:t>
            </w:r>
            <w:r>
              <w:rPr>
                <w:sz w:val="26"/>
                <w:rtl/>
              </w:rPr>
              <w:t xml:space="preserve"> </w:t>
            </w:r>
          </w:p>
        </w:tc>
      </w:tr>
      <w:tr w:rsidR="00343430" w14:paraId="3D9B61D1" w14:textId="77777777" w:rsidTr="00343430">
        <w:trPr>
          <w:cantSplit/>
        </w:trPr>
        <w:tc>
          <w:tcPr>
            <w:tcW w:w="1871" w:type="dxa"/>
          </w:tcPr>
          <w:p w14:paraId="6C0CB9D8" w14:textId="18D335CD" w:rsidR="00343430" w:rsidRPr="00343430" w:rsidRDefault="00343430" w:rsidP="00343430">
            <w:pPr>
              <w:pStyle w:val="TableSideHeading"/>
              <w:ind w:right="0"/>
            </w:pPr>
            <w:r w:rsidRPr="00343430">
              <w:rPr>
                <w:rtl/>
              </w:rPr>
              <w:t>ביטול סעיף 251</w:t>
            </w:r>
          </w:p>
        </w:tc>
        <w:tc>
          <w:tcPr>
            <w:tcW w:w="624" w:type="dxa"/>
          </w:tcPr>
          <w:p w14:paraId="3F4286A2" w14:textId="7B6B9545" w:rsidR="00343430" w:rsidRDefault="00343430" w:rsidP="00343430">
            <w:pPr>
              <w:pStyle w:val="TableText"/>
              <w:keepLines w:val="0"/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7143" w:type="dxa"/>
          </w:tcPr>
          <w:p w14:paraId="7633D5BB" w14:textId="47B22A86" w:rsidR="00343430" w:rsidRPr="00343430" w:rsidRDefault="00343430" w:rsidP="00343430">
            <w:pPr>
              <w:pStyle w:val="TableBlock"/>
            </w:pPr>
            <w:r w:rsidRPr="00343430">
              <w:rPr>
                <w:rtl/>
              </w:rPr>
              <w:t>סעיף 251 לחוק העיקרי – בטל.</w:t>
            </w:r>
          </w:p>
        </w:tc>
      </w:tr>
      <w:tr w:rsidR="00343430" w14:paraId="17FEA4B7" w14:textId="77777777" w:rsidTr="00343430">
        <w:trPr>
          <w:cantSplit/>
        </w:trPr>
        <w:tc>
          <w:tcPr>
            <w:tcW w:w="1871" w:type="dxa"/>
          </w:tcPr>
          <w:p w14:paraId="69D62309" w14:textId="770070C5" w:rsidR="00343430" w:rsidRPr="00343430" w:rsidRDefault="00343430" w:rsidP="00343430">
            <w:pPr>
              <w:pStyle w:val="TableSideHeading"/>
              <w:ind w:right="0"/>
              <w:rPr>
                <w:rtl/>
              </w:rPr>
            </w:pPr>
            <w:r w:rsidRPr="00343430">
              <w:rPr>
                <w:rtl/>
              </w:rPr>
              <w:t>תיקון סעיף 320</w:t>
            </w:r>
          </w:p>
        </w:tc>
        <w:tc>
          <w:tcPr>
            <w:tcW w:w="624" w:type="dxa"/>
          </w:tcPr>
          <w:p w14:paraId="570B0023" w14:textId="694A6F0D" w:rsidR="00343430" w:rsidRDefault="00343430" w:rsidP="00343430">
            <w:pPr>
              <w:pStyle w:val="TableText"/>
              <w:keepLines w:val="0"/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7143" w:type="dxa"/>
          </w:tcPr>
          <w:p w14:paraId="5C111FD2" w14:textId="2A8354F6" w:rsidR="00343430" w:rsidRPr="00343430" w:rsidRDefault="00343430" w:rsidP="00343430">
            <w:pPr>
              <w:pStyle w:val="TableBlock"/>
            </w:pPr>
            <w:r w:rsidRPr="00343430">
              <w:rPr>
                <w:rtl/>
              </w:rPr>
              <w:t>בסעיף 320 לחוק העיקרי, אחרי סעיף קטן (ה) יבוא:</w:t>
            </w:r>
          </w:p>
        </w:tc>
      </w:tr>
      <w:tr w:rsidR="00343430" w14:paraId="1FB2D432" w14:textId="77777777" w:rsidTr="00343430">
        <w:trPr>
          <w:cantSplit/>
        </w:trPr>
        <w:tc>
          <w:tcPr>
            <w:tcW w:w="1871" w:type="dxa"/>
          </w:tcPr>
          <w:p w14:paraId="7E83C2FB" w14:textId="729C4E67" w:rsidR="00343430" w:rsidRPr="00343430" w:rsidRDefault="00343430" w:rsidP="00343430">
            <w:pPr>
              <w:pStyle w:val="TableSideHeading"/>
              <w:ind w:right="0"/>
              <w:rPr>
                <w:rtl/>
              </w:rPr>
            </w:pPr>
          </w:p>
        </w:tc>
        <w:tc>
          <w:tcPr>
            <w:tcW w:w="624" w:type="dxa"/>
          </w:tcPr>
          <w:p w14:paraId="1FDC02EF" w14:textId="77777777" w:rsidR="00343430" w:rsidRDefault="00343430" w:rsidP="00343430">
            <w:pPr>
              <w:pStyle w:val="TableText"/>
              <w:keepLines w:val="0"/>
              <w:rPr>
                <w:rtl/>
              </w:rPr>
            </w:pPr>
          </w:p>
        </w:tc>
        <w:tc>
          <w:tcPr>
            <w:tcW w:w="7143" w:type="dxa"/>
          </w:tcPr>
          <w:p w14:paraId="56694617" w14:textId="12FB7022" w:rsidR="00343430" w:rsidRPr="00343430" w:rsidRDefault="00343430" w:rsidP="004A68A8">
            <w:pPr>
              <w:pStyle w:val="TableBlock"/>
              <w:rPr>
                <w:rtl/>
              </w:rPr>
            </w:pPr>
            <w:r w:rsidRPr="00343430">
              <w:rPr>
                <w:rtl/>
              </w:rPr>
              <w:t>"(ה1)</w:t>
            </w:r>
            <w:r w:rsidRPr="00343430">
              <w:rPr>
                <w:rtl/>
              </w:rPr>
              <w:tab/>
              <w:t>על אף האמור בסעי</w:t>
            </w:r>
            <w:r w:rsidR="004A68A8">
              <w:rPr>
                <w:rFonts w:hint="cs"/>
                <w:rtl/>
              </w:rPr>
              <w:t>פים קטנים</w:t>
            </w:r>
            <w:r w:rsidRPr="00343430">
              <w:rPr>
                <w:rtl/>
              </w:rPr>
              <w:t xml:space="preserve"> (ג)(1)</w:t>
            </w:r>
            <w:r w:rsidR="004A68A8">
              <w:rPr>
                <w:rFonts w:hint="cs"/>
                <w:rtl/>
              </w:rPr>
              <w:t xml:space="preserve"> ו</w:t>
            </w:r>
            <w:r w:rsidR="000F4DBD">
              <w:rPr>
                <w:rFonts w:hint="cs"/>
                <w:rtl/>
              </w:rPr>
              <w:t>-</w:t>
            </w:r>
            <w:r w:rsidR="004A68A8">
              <w:rPr>
                <w:rFonts w:hint="cs"/>
                <w:rtl/>
              </w:rPr>
              <w:t>(ד)</w:t>
            </w:r>
            <w:r w:rsidRPr="00343430">
              <w:rPr>
                <w:rtl/>
              </w:rPr>
              <w:t xml:space="preserve">, זכאי לקצבת נכות </w:t>
            </w:r>
            <w:r w:rsidR="004A68A8">
              <w:rPr>
                <w:rFonts w:hint="cs"/>
                <w:rtl/>
              </w:rPr>
              <w:t>ש</w:t>
            </w:r>
            <w:r w:rsidRPr="00343430">
              <w:rPr>
                <w:rtl/>
              </w:rPr>
              <w:t xml:space="preserve">נעשה זכאי לקצבת זקנה, יקבל את שתי </w:t>
            </w:r>
            <w:r w:rsidR="000F4DBD">
              <w:rPr>
                <w:rtl/>
              </w:rPr>
              <w:t>הקצבאות</w:t>
            </w:r>
            <w:r w:rsidR="000F4DBD">
              <w:rPr>
                <w:rFonts w:hint="cs"/>
                <w:rtl/>
              </w:rPr>
              <w:t>.</w:t>
            </w:r>
            <w:r w:rsidR="000F4DBD">
              <w:rPr>
                <w:rtl/>
              </w:rPr>
              <w:t>"</w:t>
            </w:r>
          </w:p>
        </w:tc>
      </w:tr>
    </w:tbl>
    <w:p w14:paraId="7F6961CA" w14:textId="77777777" w:rsidR="002D1EE3" w:rsidRDefault="002D1EE3" w:rsidP="002D1EE3">
      <w:pPr>
        <w:pStyle w:val="HeadDivreiHesber"/>
        <w:rPr>
          <w:rtl/>
        </w:rPr>
      </w:pPr>
      <w:r w:rsidRPr="0027450A">
        <w:rPr>
          <w:rFonts w:hint="cs"/>
          <w:rtl/>
        </w:rPr>
        <w:t>דברי הסבר</w:t>
      </w:r>
    </w:p>
    <w:p w14:paraId="399EA63B" w14:textId="53750622" w:rsidR="00343430" w:rsidRDefault="00343430" w:rsidP="000F4DBD">
      <w:pPr>
        <w:pStyle w:val="Hesber"/>
        <w:rPr>
          <w:sz w:val="26"/>
          <w:rtl/>
        </w:rPr>
      </w:pPr>
      <w:r>
        <w:rPr>
          <w:sz w:val="26"/>
          <w:rtl/>
        </w:rPr>
        <w:t xml:space="preserve">מגבלת הגיל הקיימת על הזכאות </w:t>
      </w:r>
      <w:r w:rsidR="00EF3358">
        <w:rPr>
          <w:rFonts w:hint="cs"/>
          <w:sz w:val="26"/>
          <w:rtl/>
        </w:rPr>
        <w:t>ל</w:t>
      </w:r>
      <w:r>
        <w:rPr>
          <w:sz w:val="26"/>
          <w:rtl/>
        </w:rPr>
        <w:t xml:space="preserve">קבלת קצבת נכות (הגעה לגיל פרישה), מובילה להפסקת קצבת הנכות דווקא בגיל </w:t>
      </w:r>
      <w:r w:rsidR="000F4DBD">
        <w:rPr>
          <w:rFonts w:hint="cs"/>
          <w:sz w:val="26"/>
          <w:rtl/>
        </w:rPr>
        <w:t>ש</w:t>
      </w:r>
      <w:r>
        <w:rPr>
          <w:sz w:val="26"/>
          <w:rtl/>
        </w:rPr>
        <w:t xml:space="preserve">בו נזקקים לה הנכים יותר מתמיד. </w:t>
      </w:r>
      <w:r w:rsidR="004A68A8">
        <w:rPr>
          <w:rFonts w:hint="cs"/>
          <w:sz w:val="26"/>
          <w:rtl/>
        </w:rPr>
        <w:t xml:space="preserve">אמנם סעיף 251 לחוק </w:t>
      </w:r>
      <w:r w:rsidR="00EF3358">
        <w:rPr>
          <w:rFonts w:hint="cs"/>
          <w:sz w:val="26"/>
          <w:rtl/>
        </w:rPr>
        <w:t>הביטוח הלאומי</w:t>
      </w:r>
      <w:r w:rsidR="000F4DBD">
        <w:rPr>
          <w:rFonts w:hint="cs"/>
          <w:sz w:val="26"/>
          <w:rtl/>
        </w:rPr>
        <w:t xml:space="preserve"> [נוסח משולב]</w:t>
      </w:r>
      <w:r w:rsidR="00EF3358">
        <w:rPr>
          <w:rFonts w:hint="cs"/>
          <w:sz w:val="26"/>
          <w:rtl/>
        </w:rPr>
        <w:t>, התשנ"ה</w:t>
      </w:r>
      <w:r w:rsidR="00EF3358">
        <w:rPr>
          <w:rFonts w:hint="eastAsia"/>
          <w:sz w:val="26"/>
          <w:rtl/>
        </w:rPr>
        <w:t>–</w:t>
      </w:r>
      <w:r w:rsidR="000F4DBD">
        <w:rPr>
          <w:rFonts w:hint="cs"/>
          <w:sz w:val="26"/>
          <w:rtl/>
        </w:rPr>
        <w:t xml:space="preserve"> </w:t>
      </w:r>
      <w:r w:rsidR="00EF3358">
        <w:rPr>
          <w:rFonts w:hint="cs"/>
          <w:sz w:val="26"/>
          <w:rtl/>
        </w:rPr>
        <w:t>1995</w:t>
      </w:r>
      <w:r w:rsidR="000F4DBD">
        <w:rPr>
          <w:rFonts w:hint="cs"/>
          <w:sz w:val="26"/>
          <w:rtl/>
        </w:rPr>
        <w:t xml:space="preserve"> (להלן </w:t>
      </w:r>
      <w:r w:rsidR="000F4DBD">
        <w:rPr>
          <w:rFonts w:hint="eastAsia"/>
          <w:sz w:val="26"/>
          <w:rtl/>
        </w:rPr>
        <w:t>–</w:t>
      </w:r>
      <w:r w:rsidR="000F4DBD">
        <w:rPr>
          <w:rFonts w:hint="cs"/>
          <w:sz w:val="26"/>
          <w:rtl/>
        </w:rPr>
        <w:t xml:space="preserve"> החוק)</w:t>
      </w:r>
      <w:r w:rsidR="00EF3358">
        <w:rPr>
          <w:rFonts w:hint="cs"/>
          <w:sz w:val="26"/>
          <w:rtl/>
        </w:rPr>
        <w:t xml:space="preserve">, </w:t>
      </w:r>
      <w:r w:rsidR="004A68A8">
        <w:rPr>
          <w:rFonts w:hint="cs"/>
          <w:sz w:val="26"/>
          <w:rtl/>
        </w:rPr>
        <w:t>קובע כי למי שהיה זכאי לקצבת נכות לפני שנעשה זכאי לקצבת זקנה תשולם תוספת לקצבת הזקנה עד לגובה קצבת הנכות</w:t>
      </w:r>
      <w:r w:rsidR="00E15725">
        <w:rPr>
          <w:rFonts w:hint="cs"/>
          <w:sz w:val="26"/>
          <w:rtl/>
        </w:rPr>
        <w:t xml:space="preserve"> ואולם הוא אינו זכאי לשתי הקצבאות בעת ובעונה אחת. </w:t>
      </w:r>
    </w:p>
    <w:p w14:paraId="165BF1B7" w14:textId="04078295" w:rsidR="00343430" w:rsidRDefault="00343430" w:rsidP="00343430">
      <w:pPr>
        <w:pStyle w:val="Hesber"/>
        <w:rPr>
          <w:sz w:val="26"/>
          <w:rtl/>
        </w:rPr>
      </w:pPr>
      <w:r>
        <w:rPr>
          <w:sz w:val="26"/>
          <w:rtl/>
        </w:rPr>
        <w:t>פגיעה זו נגרמת דווקא בגיל שבו זקוק הנכה יותר מתמיד לרשת ביטחון סוציאלי, עקב מחלות והוצאות האופייניות לגיל הזקנה</w:t>
      </w:r>
      <w:r>
        <w:rPr>
          <w:rFonts w:hint="cs"/>
          <w:sz w:val="26"/>
          <w:rtl/>
        </w:rPr>
        <w:t xml:space="preserve"> המתווספות לאותן הוצאות אשר היה רגיל הנכה להוציא עד כה בשל נכותו</w:t>
      </w:r>
      <w:r>
        <w:rPr>
          <w:sz w:val="26"/>
          <w:rtl/>
        </w:rPr>
        <w:t>. הקשיים המאפיינים את גיל הזקנה מצטברים ו</w:t>
      </w:r>
      <w:r w:rsidR="000F4DBD">
        <w:rPr>
          <w:rFonts w:hint="cs"/>
          <w:sz w:val="26"/>
          <w:rtl/>
        </w:rPr>
        <w:t xml:space="preserve">הם </w:t>
      </w:r>
      <w:r>
        <w:rPr>
          <w:sz w:val="26"/>
          <w:rtl/>
        </w:rPr>
        <w:t xml:space="preserve">אינם תחליף לקשיים </w:t>
      </w:r>
      <w:r w:rsidR="000F4DBD">
        <w:rPr>
          <w:rFonts w:hint="cs"/>
          <w:sz w:val="26"/>
          <w:rtl/>
        </w:rPr>
        <w:t>ש</w:t>
      </w:r>
      <w:r>
        <w:rPr>
          <w:sz w:val="26"/>
          <w:rtl/>
        </w:rPr>
        <w:t xml:space="preserve">מהם ממילא סובל הנכה ככזה. פגיעה זו עשויה להביא נכים קשישים אל מתחת לקו העוני.     </w:t>
      </w:r>
    </w:p>
    <w:p w14:paraId="65FBAE5D" w14:textId="3703B6C8" w:rsidR="00E15725" w:rsidRPr="00E15725" w:rsidRDefault="00343430" w:rsidP="000F4DBD">
      <w:pPr>
        <w:pStyle w:val="Hesber"/>
        <w:rPr>
          <w:sz w:val="26"/>
          <w:rtl/>
        </w:rPr>
      </w:pPr>
      <w:r>
        <w:rPr>
          <w:sz w:val="26"/>
          <w:rtl/>
        </w:rPr>
        <w:t>מגבלת הגיל פוגעת שבעתיים ב</w:t>
      </w:r>
      <w:r w:rsidR="00E15725">
        <w:rPr>
          <w:rFonts w:hint="cs"/>
          <w:sz w:val="26"/>
          <w:rtl/>
        </w:rPr>
        <w:t xml:space="preserve">נשים </w:t>
      </w:r>
      <w:r>
        <w:rPr>
          <w:sz w:val="26"/>
          <w:rtl/>
        </w:rPr>
        <w:t>נכות, שכן הפ</w:t>
      </w:r>
      <w:r w:rsidR="00E15725">
        <w:rPr>
          <w:rFonts w:hint="cs"/>
          <w:sz w:val="26"/>
          <w:rtl/>
        </w:rPr>
        <w:t>סקת הזכאות</w:t>
      </w:r>
      <w:r>
        <w:rPr>
          <w:sz w:val="26"/>
          <w:rtl/>
        </w:rPr>
        <w:t xml:space="preserve"> </w:t>
      </w:r>
      <w:r w:rsidR="00E15725">
        <w:rPr>
          <w:rFonts w:hint="cs"/>
          <w:sz w:val="26"/>
          <w:rtl/>
        </w:rPr>
        <w:t>ל</w:t>
      </w:r>
      <w:r>
        <w:rPr>
          <w:sz w:val="26"/>
          <w:rtl/>
        </w:rPr>
        <w:t xml:space="preserve">קצבת הנכות מתרחשת בגיל מוקדם </w:t>
      </w:r>
      <w:r>
        <w:rPr>
          <w:sz w:val="26"/>
          <w:rtl/>
        </w:rPr>
        <w:lastRenderedPageBreak/>
        <w:t xml:space="preserve">יותר. </w:t>
      </w:r>
      <w:r w:rsidR="000F4DBD">
        <w:rPr>
          <w:rFonts w:hint="cs"/>
          <w:sz w:val="26"/>
          <w:rtl/>
        </w:rPr>
        <w:t xml:space="preserve">לפיכך, </w:t>
      </w:r>
      <w:r w:rsidR="00E15725" w:rsidRPr="00E15725">
        <w:rPr>
          <w:sz w:val="26"/>
          <w:rtl/>
        </w:rPr>
        <w:t>מוצע לתקן א</w:t>
      </w:r>
      <w:r w:rsidR="000F4DBD">
        <w:rPr>
          <w:sz w:val="26"/>
          <w:rtl/>
        </w:rPr>
        <w:t>ת הגדרת "מבוטח" שבסעיף 195 לחוק</w:t>
      </w:r>
      <w:r w:rsidR="000F4DBD">
        <w:rPr>
          <w:rFonts w:hint="cs"/>
          <w:sz w:val="26"/>
          <w:rtl/>
        </w:rPr>
        <w:t xml:space="preserve">, </w:t>
      </w:r>
      <w:r w:rsidR="00E15725" w:rsidRPr="00E15725">
        <w:rPr>
          <w:sz w:val="26"/>
          <w:rtl/>
        </w:rPr>
        <w:t xml:space="preserve">באופן המבטל את מגבלת הגיל הקיימת על הזכאות לקבלת קצבת נכות. </w:t>
      </w:r>
      <w:r w:rsidR="000F4DBD">
        <w:rPr>
          <w:rFonts w:hint="cs"/>
          <w:sz w:val="26"/>
          <w:rtl/>
        </w:rPr>
        <w:t>כמו כן</w:t>
      </w:r>
      <w:r w:rsidR="00E15725">
        <w:rPr>
          <w:rFonts w:hint="cs"/>
          <w:sz w:val="26"/>
          <w:rtl/>
        </w:rPr>
        <w:t>, מוצע לבטל את ההוראה המונעת קבלת כפל קצבאות לגבי מי שהיה זכאי לקצבת נכות והגיע לגיל פרישה.</w:t>
      </w:r>
    </w:p>
    <w:p w14:paraId="7F253343" w14:textId="516A135D" w:rsidR="00343430" w:rsidRDefault="00343430" w:rsidP="00885B1C">
      <w:pPr>
        <w:pStyle w:val="Hesber"/>
        <w:rPr>
          <w:sz w:val="26"/>
          <w:rtl/>
        </w:rPr>
      </w:pPr>
      <w:r>
        <w:rPr>
          <w:sz w:val="26"/>
          <w:rtl/>
        </w:rPr>
        <w:t>הצעות חוק דומות בעיקרן הונחו על שולחן הכנסת השש</w:t>
      </w:r>
      <w:r w:rsidR="000F4DBD">
        <w:rPr>
          <w:sz w:val="26"/>
          <w:rtl/>
        </w:rPr>
        <w:t>-עשרה על</w:t>
      </w:r>
      <w:r w:rsidR="000F4DBD">
        <w:rPr>
          <w:rFonts w:hint="cs"/>
          <w:sz w:val="26"/>
          <w:rtl/>
        </w:rPr>
        <w:t xml:space="preserve"> </w:t>
      </w:r>
      <w:r>
        <w:rPr>
          <w:sz w:val="26"/>
          <w:rtl/>
        </w:rPr>
        <w:t>ידי חברת</w:t>
      </w:r>
      <w:r w:rsidR="000F4DBD">
        <w:rPr>
          <w:sz w:val="26"/>
          <w:rtl/>
        </w:rPr>
        <w:t xml:space="preserve"> הכנסת אורית נוקד (פ/2839), על</w:t>
      </w:r>
      <w:r w:rsidR="000F4DBD">
        <w:rPr>
          <w:rFonts w:hint="cs"/>
          <w:sz w:val="26"/>
          <w:rtl/>
        </w:rPr>
        <w:t xml:space="preserve"> </w:t>
      </w:r>
      <w:r>
        <w:rPr>
          <w:sz w:val="26"/>
          <w:rtl/>
        </w:rPr>
        <w:t>ידי חבר</w:t>
      </w:r>
      <w:r w:rsidR="001F07B8">
        <w:rPr>
          <w:rFonts w:hint="cs"/>
          <w:sz w:val="26"/>
          <w:rtl/>
        </w:rPr>
        <w:t>ת</w:t>
      </w:r>
      <w:bookmarkStart w:id="8" w:name="_GoBack"/>
      <w:bookmarkEnd w:id="8"/>
      <w:r>
        <w:rPr>
          <w:sz w:val="26"/>
          <w:rtl/>
        </w:rPr>
        <w:t xml:space="preserve"> </w:t>
      </w:r>
      <w:r w:rsidR="000F4DBD">
        <w:rPr>
          <w:sz w:val="26"/>
          <w:rtl/>
        </w:rPr>
        <w:t>הכנסת גילה גמליאל (פ/3331), על</w:t>
      </w:r>
      <w:r w:rsidR="000F4DBD">
        <w:rPr>
          <w:rFonts w:hint="cs"/>
          <w:sz w:val="26"/>
          <w:rtl/>
        </w:rPr>
        <w:t xml:space="preserve"> </w:t>
      </w:r>
      <w:r>
        <w:rPr>
          <w:sz w:val="26"/>
          <w:rtl/>
        </w:rPr>
        <w:t xml:space="preserve">ידי חברת הכנסת אראלה גולן </w:t>
      </w:r>
      <w:r w:rsidR="000F4DBD">
        <w:rPr>
          <w:sz w:val="26"/>
          <w:rtl/>
        </w:rPr>
        <w:t>וקבוצת חברי הכנסת (פ/3574), על</w:t>
      </w:r>
      <w:r w:rsidR="000F4DBD">
        <w:rPr>
          <w:rFonts w:hint="cs"/>
          <w:sz w:val="26"/>
          <w:rtl/>
        </w:rPr>
        <w:t xml:space="preserve"> </w:t>
      </w:r>
      <w:r>
        <w:rPr>
          <w:sz w:val="26"/>
          <w:rtl/>
        </w:rPr>
        <w:t>ידי חברת ה</w:t>
      </w:r>
      <w:r w:rsidR="000F4DBD">
        <w:rPr>
          <w:sz w:val="26"/>
          <w:rtl/>
        </w:rPr>
        <w:t>כנסת גילה פינקלשטיין (פ/3943)</w:t>
      </w:r>
      <w:r w:rsidR="000F4DBD">
        <w:rPr>
          <w:rFonts w:hint="cs"/>
          <w:sz w:val="26"/>
          <w:rtl/>
        </w:rPr>
        <w:t xml:space="preserve"> ועל שולחן הכנסת השבע-</w:t>
      </w:r>
      <w:r w:rsidR="004A2457">
        <w:rPr>
          <w:rFonts w:hint="cs"/>
          <w:sz w:val="26"/>
          <w:rtl/>
        </w:rPr>
        <w:t>עשרה על ידי חברת הכנסת אורית נוקד (פ/520/17), על ידי חבר הכנסת דוד טל (פ/521/17), על ידי חבר</w:t>
      </w:r>
      <w:r w:rsidR="000F4DBD">
        <w:rPr>
          <w:rFonts w:hint="cs"/>
          <w:sz w:val="26"/>
          <w:rtl/>
        </w:rPr>
        <w:t xml:space="preserve">ת הכנסת סופה לנדבר (פ/1489/17), </w:t>
      </w:r>
      <w:r w:rsidR="004A2457">
        <w:rPr>
          <w:rFonts w:hint="cs"/>
          <w:sz w:val="26"/>
          <w:rtl/>
        </w:rPr>
        <w:t xml:space="preserve">על ידי חבר הכנסת יורי שטרן וקבוצת חברי הכנסת (פ/1490/17), </w:t>
      </w:r>
      <w:r w:rsidR="000F4DBD">
        <w:rPr>
          <w:rFonts w:hint="cs"/>
          <w:sz w:val="26"/>
          <w:rtl/>
        </w:rPr>
        <w:t>ו</w:t>
      </w:r>
      <w:r w:rsidR="004A2457">
        <w:rPr>
          <w:rFonts w:hint="cs"/>
          <w:sz w:val="26"/>
          <w:rtl/>
        </w:rPr>
        <w:t>על שולחן הכנסת השמונה- עשרה על ידי חבר הכנסת דב חנין וקבוצת חברי הכנסת (פ/1044/18),</w:t>
      </w:r>
      <w:r w:rsidR="00885B1C">
        <w:rPr>
          <w:rFonts w:hint="cs"/>
          <w:sz w:val="26"/>
          <w:rtl/>
        </w:rPr>
        <w:t xml:space="preserve"> ועל ידי</w:t>
      </w:r>
      <w:r w:rsidR="004A2457">
        <w:rPr>
          <w:rFonts w:hint="cs"/>
          <w:sz w:val="26"/>
          <w:rtl/>
        </w:rPr>
        <w:t xml:space="preserve"> </w:t>
      </w:r>
      <w:r w:rsidR="00885B1C" w:rsidRPr="00E15725">
        <w:rPr>
          <w:rFonts w:hint="cs"/>
          <w:sz w:val="26"/>
          <w:rtl/>
        </w:rPr>
        <w:t>חבר הכנסת אילן גילאון וקבוצת חברי הכנסת (פ/1349/18; הוסרה מסדר היום ביום ט' בסיוון התשע"ב (30 במאי 2012))</w:t>
      </w:r>
      <w:r w:rsidR="00885B1C">
        <w:rPr>
          <w:rFonts w:hint="cs"/>
          <w:sz w:val="26"/>
          <w:rtl/>
        </w:rPr>
        <w:t xml:space="preserve">, </w:t>
      </w:r>
      <w:r w:rsidR="000F4DBD">
        <w:rPr>
          <w:rFonts w:hint="cs"/>
          <w:sz w:val="26"/>
          <w:rtl/>
        </w:rPr>
        <w:t>על שולחן הכנסת התשע-</w:t>
      </w:r>
      <w:r w:rsidR="004A2457">
        <w:rPr>
          <w:rFonts w:hint="cs"/>
          <w:sz w:val="26"/>
          <w:rtl/>
        </w:rPr>
        <w:t>עשרה על ידי חבר הכנסת דב חנין וקבוצת חברי הכנסת (פ/98/19)</w:t>
      </w:r>
      <w:r w:rsidR="000F4DBD">
        <w:rPr>
          <w:rFonts w:hint="cs"/>
          <w:sz w:val="26"/>
          <w:rtl/>
        </w:rPr>
        <w:t>,</w:t>
      </w:r>
      <w:r w:rsidR="004A2457">
        <w:rPr>
          <w:rFonts w:hint="cs"/>
          <w:sz w:val="26"/>
          <w:rtl/>
        </w:rPr>
        <w:t xml:space="preserve"> </w:t>
      </w:r>
      <w:r w:rsidR="00885B1C">
        <w:rPr>
          <w:rFonts w:hint="cs"/>
          <w:sz w:val="26"/>
          <w:rtl/>
        </w:rPr>
        <w:t>ו</w:t>
      </w:r>
      <w:r w:rsidR="004A2457">
        <w:rPr>
          <w:rFonts w:hint="cs"/>
          <w:sz w:val="26"/>
          <w:rtl/>
        </w:rPr>
        <w:t>על שולחן הכנסת העשרים על ידי חבר הכנסת אילן ג</w:t>
      </w:r>
      <w:r w:rsidR="000F4DBD">
        <w:rPr>
          <w:rFonts w:hint="cs"/>
          <w:sz w:val="26"/>
          <w:rtl/>
        </w:rPr>
        <w:t>י</w:t>
      </w:r>
      <w:r w:rsidR="004A2457">
        <w:rPr>
          <w:rFonts w:hint="cs"/>
          <w:sz w:val="26"/>
          <w:rtl/>
        </w:rPr>
        <w:t>לאון (פ/1015/20).</w:t>
      </w:r>
    </w:p>
    <w:p w14:paraId="512C9B0F" w14:textId="2C365BE3" w:rsidR="00343430" w:rsidRDefault="00343430" w:rsidP="004A2457">
      <w:pPr>
        <w:pStyle w:val="Hesber"/>
        <w:rPr>
          <w:sz w:val="26"/>
          <w:rtl/>
        </w:rPr>
      </w:pPr>
      <w:r>
        <w:rPr>
          <w:rFonts w:hint="cs"/>
          <w:sz w:val="26"/>
          <w:rtl/>
        </w:rPr>
        <w:t xml:space="preserve">הצעת החוק </w:t>
      </w:r>
      <w:r w:rsidR="004A2457">
        <w:rPr>
          <w:rFonts w:hint="cs"/>
          <w:sz w:val="26"/>
          <w:rtl/>
        </w:rPr>
        <w:t>הוכנה</w:t>
      </w:r>
      <w:r>
        <w:rPr>
          <w:rFonts w:hint="cs"/>
          <w:sz w:val="26"/>
          <w:rtl/>
        </w:rPr>
        <w:t xml:space="preserve"> בסיוע עמותת "ידיד" </w:t>
      </w:r>
      <w:r>
        <w:rPr>
          <w:sz w:val="26"/>
          <w:rtl/>
        </w:rPr>
        <w:t>–</w:t>
      </w:r>
      <w:r>
        <w:rPr>
          <w:rFonts w:hint="cs"/>
          <w:sz w:val="26"/>
          <w:rtl/>
        </w:rPr>
        <w:t xml:space="preserve"> מרכזי זכויות בקהילה</w:t>
      </w:r>
      <w:r w:rsidR="004A2457">
        <w:rPr>
          <w:rFonts w:hint="cs"/>
          <w:sz w:val="26"/>
          <w:rtl/>
        </w:rPr>
        <w:t>.</w:t>
      </w:r>
    </w:p>
    <w:p w14:paraId="374562E5" w14:textId="77777777" w:rsidR="00343430" w:rsidRDefault="00343430" w:rsidP="00343430">
      <w:pPr>
        <w:ind w:firstLine="0"/>
        <w:rPr>
          <w:rtl/>
        </w:rPr>
      </w:pPr>
    </w:p>
    <w:p w14:paraId="7BEFB9DD" w14:textId="77777777" w:rsidR="00343430" w:rsidRDefault="00343430" w:rsidP="00343430">
      <w:pPr>
        <w:ind w:firstLine="0"/>
        <w:rPr>
          <w:rtl/>
        </w:rPr>
      </w:pPr>
    </w:p>
    <w:p w14:paraId="17AEB166" w14:textId="568AF6A2" w:rsidR="00E15725" w:rsidRPr="00E15725" w:rsidRDefault="00E15725" w:rsidP="00885B1C">
      <w:pPr>
        <w:snapToGrid w:val="0"/>
        <w:spacing w:before="0" w:line="360" w:lineRule="auto"/>
        <w:textAlignment w:val="auto"/>
        <w:rPr>
          <w:rFonts w:ascii="Arial" w:eastAsia="Arial Unicode MS" w:hAnsi="Arial" w:cs="David"/>
          <w:spacing w:val="0"/>
          <w:sz w:val="20"/>
          <w:szCs w:val="26"/>
          <w:rtl/>
        </w:rPr>
      </w:pPr>
    </w:p>
    <w:p w14:paraId="57DDC407" w14:textId="77777777" w:rsidR="000F4DBD" w:rsidRPr="00D73212" w:rsidRDefault="000F4DBD" w:rsidP="000F4DBD">
      <w:pPr>
        <w:pStyle w:val="Hesber"/>
        <w:rPr>
          <w:color w:val="auto"/>
          <w:rtl/>
          <w:lang w:eastAsia="en-US"/>
        </w:rPr>
      </w:pPr>
      <w:r w:rsidRPr="00D73212">
        <w:rPr>
          <w:color w:val="auto"/>
          <w:rtl/>
          <w:lang w:eastAsia="en-US"/>
        </w:rPr>
        <w:t>---------------------------------</w:t>
      </w:r>
    </w:p>
    <w:p w14:paraId="71B61788" w14:textId="77777777" w:rsidR="000F4DBD" w:rsidRPr="00D73212" w:rsidRDefault="000F4DBD" w:rsidP="000F4DBD">
      <w:pPr>
        <w:pStyle w:val="Hesber"/>
        <w:rPr>
          <w:color w:val="auto"/>
          <w:rtl/>
          <w:lang w:eastAsia="en-US"/>
        </w:rPr>
      </w:pPr>
      <w:r w:rsidRPr="00D73212">
        <w:rPr>
          <w:rFonts w:hint="cs"/>
          <w:color w:val="auto"/>
          <w:rtl/>
          <w:lang w:eastAsia="en-US"/>
        </w:rPr>
        <w:t>הוגשה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ליו</w:t>
      </w:r>
      <w:r w:rsidRPr="00D73212">
        <w:rPr>
          <w:color w:val="auto"/>
          <w:rtl/>
          <w:lang w:eastAsia="en-US"/>
        </w:rPr>
        <w:t>"</w:t>
      </w:r>
      <w:r w:rsidRPr="00D73212">
        <w:rPr>
          <w:rFonts w:hint="cs"/>
          <w:color w:val="auto"/>
          <w:rtl/>
          <w:lang w:eastAsia="en-US"/>
        </w:rPr>
        <w:t>ר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הכנסת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והסגנים</w:t>
      </w:r>
    </w:p>
    <w:p w14:paraId="71B1B82F" w14:textId="77777777" w:rsidR="000F4DBD" w:rsidRPr="00D73212" w:rsidRDefault="000F4DBD" w:rsidP="000F4DBD">
      <w:pPr>
        <w:pStyle w:val="Hesber"/>
        <w:rPr>
          <w:color w:val="auto"/>
          <w:rtl/>
          <w:lang w:eastAsia="en-US"/>
        </w:rPr>
      </w:pPr>
      <w:r w:rsidRPr="00D73212">
        <w:rPr>
          <w:rFonts w:hint="cs"/>
          <w:color w:val="auto"/>
          <w:rtl/>
          <w:lang w:eastAsia="en-US"/>
        </w:rPr>
        <w:t>והונחה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על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שולחן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הכנסת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ביום</w:t>
      </w:r>
    </w:p>
    <w:p w14:paraId="49F3E5F9" w14:textId="77777777" w:rsidR="000F4DBD" w:rsidRPr="00317312" w:rsidRDefault="000F4DBD" w:rsidP="000F4DBD">
      <w:pPr>
        <w:pStyle w:val="Hesber"/>
      </w:pPr>
      <w:r>
        <w:rPr>
          <w:rFonts w:hint="cs"/>
          <w:color w:val="auto"/>
          <w:rtl/>
          <w:lang w:eastAsia="en-US"/>
        </w:rPr>
        <w:t>ב' בתמוז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התשע</w:t>
      </w:r>
      <w:r w:rsidRPr="00D73212">
        <w:rPr>
          <w:color w:val="auto"/>
          <w:rtl/>
          <w:lang w:eastAsia="en-US"/>
        </w:rPr>
        <w:t>"</w:t>
      </w:r>
      <w:r>
        <w:rPr>
          <w:rFonts w:hint="cs"/>
          <w:color w:val="auto"/>
          <w:rtl/>
          <w:lang w:eastAsia="en-US"/>
        </w:rPr>
        <w:t>ז</w:t>
      </w:r>
      <w:r w:rsidRPr="00D73212">
        <w:rPr>
          <w:color w:val="auto"/>
          <w:rtl/>
          <w:lang w:eastAsia="en-US"/>
        </w:rPr>
        <w:t xml:space="preserve"> – </w:t>
      </w:r>
      <w:r>
        <w:rPr>
          <w:rFonts w:hint="cs"/>
          <w:color w:val="auto"/>
          <w:rtl/>
          <w:lang w:eastAsia="en-US"/>
        </w:rPr>
        <w:t>26.6</w:t>
      </w:r>
      <w:r w:rsidRPr="00D73212">
        <w:rPr>
          <w:color w:val="auto"/>
          <w:rtl/>
          <w:lang w:eastAsia="en-US"/>
        </w:rPr>
        <w:t>.</w:t>
      </w:r>
      <w:r>
        <w:rPr>
          <w:rFonts w:hint="cs"/>
          <w:color w:val="auto"/>
          <w:rtl/>
          <w:lang w:eastAsia="en-US"/>
        </w:rPr>
        <w:t>17</w:t>
      </w:r>
    </w:p>
    <w:p w14:paraId="23D84F14" w14:textId="77777777" w:rsidR="00E15725" w:rsidRPr="00E15725" w:rsidRDefault="00E15725" w:rsidP="00E15725">
      <w:pPr>
        <w:snapToGrid w:val="0"/>
        <w:spacing w:before="0" w:line="360" w:lineRule="auto"/>
        <w:textAlignment w:val="auto"/>
        <w:rPr>
          <w:rFonts w:ascii="Arial" w:eastAsia="Arial Unicode MS" w:hAnsi="Arial" w:cs="David"/>
          <w:spacing w:val="0"/>
          <w:sz w:val="20"/>
          <w:szCs w:val="26"/>
          <w:rtl/>
        </w:rPr>
      </w:pPr>
    </w:p>
    <w:p w14:paraId="36BA48D9" w14:textId="77777777" w:rsidR="00343430" w:rsidRDefault="00343430" w:rsidP="00343430">
      <w:pPr>
        <w:ind w:firstLine="0"/>
        <w:rPr>
          <w:rtl/>
        </w:rPr>
      </w:pPr>
    </w:p>
    <w:p w14:paraId="23898686" w14:textId="77777777" w:rsidR="00343430" w:rsidRDefault="00343430" w:rsidP="00343430">
      <w:pPr>
        <w:ind w:firstLine="0"/>
        <w:rPr>
          <w:rtl/>
        </w:rPr>
      </w:pPr>
    </w:p>
    <w:p w14:paraId="6DFA866A" w14:textId="77777777" w:rsidR="00343430" w:rsidRDefault="00343430" w:rsidP="00343430">
      <w:pPr>
        <w:ind w:firstLine="0"/>
        <w:rPr>
          <w:rtl/>
        </w:rPr>
      </w:pPr>
    </w:p>
    <w:p w14:paraId="7F6961CB" w14:textId="77777777" w:rsidR="00E13C27" w:rsidRDefault="00E13C27" w:rsidP="00E13C27">
      <w:pPr>
        <w:pStyle w:val="Hesber"/>
        <w:rPr>
          <w:rtl/>
        </w:rPr>
      </w:pPr>
    </w:p>
    <w:sectPr w:rsidR="00E13C27" w:rsidSect="001207F8">
      <w:footerReference w:type="even" r:id="rId11"/>
      <w:footerReference w:type="default" r:id="rId12"/>
      <w:pgSz w:w="11907" w:h="16840" w:code="9"/>
      <w:pgMar w:top="1134" w:right="1134" w:bottom="1134" w:left="1134" w:header="680" w:footer="680" w:gutter="0"/>
      <w:cols w:space="720"/>
      <w:noEndnote/>
      <w:titlePg/>
      <w:bidi/>
      <w:rtlGutter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88A69" w14:textId="77777777" w:rsidR="00A942C1" w:rsidRDefault="00A942C1">
      <w:r>
        <w:separator/>
      </w:r>
    </w:p>
  </w:endnote>
  <w:endnote w:type="continuationSeparator" w:id="0">
    <w:p w14:paraId="318F26FB" w14:textId="77777777" w:rsidR="00A942C1" w:rsidRDefault="00A942C1">
      <w:r>
        <w:continuationSeparator/>
      </w:r>
    </w:p>
  </w:endnote>
  <w:endnote w:type="continuationNotice" w:id="1">
    <w:p w14:paraId="6BE48FD5" w14:textId="77777777" w:rsidR="00A942C1" w:rsidRDefault="00A942C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5" w14:textId="77777777" w:rsidR="002C3041" w:rsidRDefault="002C3041" w:rsidP="001207F8">
    <w:pPr>
      <w:pStyle w:val="a9"/>
      <w:framePr w:wrap="around" w:vAnchor="text" w:hAnchor="text" w:xAlign="center" w:y="1"/>
      <w:rPr>
        <w:rStyle w:val="ab"/>
      </w:rPr>
    </w:pPr>
    <w:r>
      <w:rPr>
        <w:rStyle w:val="ab"/>
        <w:rtl/>
      </w:rPr>
      <w:fldChar w:fldCharType="begin"/>
    </w:r>
    <w:r>
      <w:rPr>
        <w:rStyle w:val="ab"/>
      </w:rPr>
      <w:instrText xml:space="preserve">PAGE  </w:instrText>
    </w:r>
    <w:r>
      <w:rPr>
        <w:rStyle w:val="ab"/>
        <w:rtl/>
      </w:rPr>
      <w:fldChar w:fldCharType="end"/>
    </w:r>
  </w:p>
  <w:p w14:paraId="7F6961D6" w14:textId="77777777" w:rsidR="002C3041" w:rsidRDefault="002C304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7" w14:textId="77777777" w:rsidR="002C3041" w:rsidRDefault="002C3041" w:rsidP="001207F8">
    <w:pPr>
      <w:pStyle w:val="a9"/>
      <w:framePr w:wrap="around" w:vAnchor="text" w:hAnchor="text" w:xAlign="center" w:y="1"/>
      <w:rPr>
        <w:rStyle w:val="ab"/>
      </w:rPr>
    </w:pPr>
    <w:r>
      <w:rPr>
        <w:rStyle w:val="ab"/>
        <w:rtl/>
      </w:rPr>
      <w:fldChar w:fldCharType="begin"/>
    </w:r>
    <w:r>
      <w:rPr>
        <w:rStyle w:val="ab"/>
      </w:rPr>
      <w:instrText xml:space="preserve">PAGE  </w:instrText>
    </w:r>
    <w:r>
      <w:rPr>
        <w:rStyle w:val="ab"/>
        <w:rtl/>
      </w:rPr>
      <w:fldChar w:fldCharType="separate"/>
    </w:r>
    <w:r w:rsidR="001F07B8">
      <w:rPr>
        <w:rStyle w:val="ab"/>
        <w:noProof/>
        <w:rtl/>
      </w:rPr>
      <w:t>2</w:t>
    </w:r>
    <w:r>
      <w:rPr>
        <w:rStyle w:val="ab"/>
        <w:rtl/>
      </w:rPr>
      <w:fldChar w:fldCharType="end"/>
    </w:r>
  </w:p>
  <w:p w14:paraId="7F6961D8" w14:textId="77777777" w:rsidR="002C3041" w:rsidRDefault="002C30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7B9F2" w14:textId="77777777" w:rsidR="00A942C1" w:rsidRDefault="00A942C1">
      <w:r>
        <w:separator/>
      </w:r>
    </w:p>
  </w:footnote>
  <w:footnote w:type="continuationSeparator" w:id="0">
    <w:p w14:paraId="3DB92342" w14:textId="77777777" w:rsidR="00A942C1" w:rsidRDefault="00A942C1">
      <w:r>
        <w:continuationSeparator/>
      </w:r>
    </w:p>
  </w:footnote>
  <w:footnote w:type="continuationNotice" w:id="1">
    <w:p w14:paraId="16009878" w14:textId="77777777" w:rsidR="00A942C1" w:rsidRDefault="00A942C1"/>
  </w:footnote>
  <w:footnote w:id="2">
    <w:p w14:paraId="104B7C3A" w14:textId="77777777" w:rsidR="00343430" w:rsidRDefault="00343430">
      <w:pPr>
        <w:pStyle w:val="a4"/>
      </w:pPr>
      <w:r>
        <w:rPr>
          <w:rStyle w:val="a6"/>
        </w:rPr>
        <w:footnoteRef/>
      </w:r>
      <w:r>
        <w:rPr>
          <w:sz w:val="20"/>
          <w:rtl/>
        </w:rPr>
        <w:t xml:space="preserve"> ס"ח התשנ"ה, עמ' 210.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5CA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E88A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DA1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305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22F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06C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E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424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D08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riginalName" w:val="tmp482240lsCopyOriginal.docx"/>
    <w:docVar w:name="StartMode" w:val="2"/>
  </w:docVars>
  <w:rsids>
    <w:rsidRoot w:val="00DB7060"/>
    <w:rsid w:val="0000131B"/>
    <w:rsid w:val="00015B27"/>
    <w:rsid w:val="00063A3E"/>
    <w:rsid w:val="00072CAC"/>
    <w:rsid w:val="0007681A"/>
    <w:rsid w:val="000A542E"/>
    <w:rsid w:val="000F4DBD"/>
    <w:rsid w:val="00102B6B"/>
    <w:rsid w:val="001052D4"/>
    <w:rsid w:val="0010644B"/>
    <w:rsid w:val="001207F8"/>
    <w:rsid w:val="00121924"/>
    <w:rsid w:val="001279A8"/>
    <w:rsid w:val="0014195F"/>
    <w:rsid w:val="00152609"/>
    <w:rsid w:val="00153E1B"/>
    <w:rsid w:val="001A0623"/>
    <w:rsid w:val="001C23B0"/>
    <w:rsid w:val="001D7AAF"/>
    <w:rsid w:val="001F07B8"/>
    <w:rsid w:val="00203A7F"/>
    <w:rsid w:val="0021633A"/>
    <w:rsid w:val="002200A1"/>
    <w:rsid w:val="002362BF"/>
    <w:rsid w:val="00241B97"/>
    <w:rsid w:val="002425D1"/>
    <w:rsid w:val="00246756"/>
    <w:rsid w:val="00251E58"/>
    <w:rsid w:val="00254605"/>
    <w:rsid w:val="00266D86"/>
    <w:rsid w:val="002728B4"/>
    <w:rsid w:val="0027600C"/>
    <w:rsid w:val="00292712"/>
    <w:rsid w:val="002A487D"/>
    <w:rsid w:val="002C2E29"/>
    <w:rsid w:val="002C3041"/>
    <w:rsid w:val="002D1EE3"/>
    <w:rsid w:val="002F1D80"/>
    <w:rsid w:val="003232A2"/>
    <w:rsid w:val="00325C14"/>
    <w:rsid w:val="00343430"/>
    <w:rsid w:val="0036422C"/>
    <w:rsid w:val="003710F6"/>
    <w:rsid w:val="00386E88"/>
    <w:rsid w:val="00396585"/>
    <w:rsid w:val="003D6E38"/>
    <w:rsid w:val="003D74A0"/>
    <w:rsid w:val="004033D8"/>
    <w:rsid w:val="004073F0"/>
    <w:rsid w:val="00412A7D"/>
    <w:rsid w:val="00416B4D"/>
    <w:rsid w:val="00417CFC"/>
    <w:rsid w:val="004A06DC"/>
    <w:rsid w:val="004A2457"/>
    <w:rsid w:val="004A68A8"/>
    <w:rsid w:val="004B24ED"/>
    <w:rsid w:val="004B6625"/>
    <w:rsid w:val="004D2D82"/>
    <w:rsid w:val="004D3876"/>
    <w:rsid w:val="004E4552"/>
    <w:rsid w:val="004E6CDF"/>
    <w:rsid w:val="00553C9D"/>
    <w:rsid w:val="00562A66"/>
    <w:rsid w:val="005B064E"/>
    <w:rsid w:val="005D51AE"/>
    <w:rsid w:val="0062674B"/>
    <w:rsid w:val="006363B2"/>
    <w:rsid w:val="00644940"/>
    <w:rsid w:val="006818A9"/>
    <w:rsid w:val="006A2D81"/>
    <w:rsid w:val="006C1D0D"/>
    <w:rsid w:val="0070601E"/>
    <w:rsid w:val="00712C72"/>
    <w:rsid w:val="00735FE9"/>
    <w:rsid w:val="00763CAA"/>
    <w:rsid w:val="00765F66"/>
    <w:rsid w:val="0078664F"/>
    <w:rsid w:val="007C3FA6"/>
    <w:rsid w:val="007D585A"/>
    <w:rsid w:val="007D5A12"/>
    <w:rsid w:val="007E59F9"/>
    <w:rsid w:val="00810BCD"/>
    <w:rsid w:val="00812C98"/>
    <w:rsid w:val="00814D92"/>
    <w:rsid w:val="0083181D"/>
    <w:rsid w:val="00843EB2"/>
    <w:rsid w:val="00865572"/>
    <w:rsid w:val="00874BBC"/>
    <w:rsid w:val="00885B1C"/>
    <w:rsid w:val="00892135"/>
    <w:rsid w:val="00895449"/>
    <w:rsid w:val="00897879"/>
    <w:rsid w:val="008A6870"/>
    <w:rsid w:val="008C2DDC"/>
    <w:rsid w:val="008C7516"/>
    <w:rsid w:val="008E6EC7"/>
    <w:rsid w:val="008F0D63"/>
    <w:rsid w:val="008F1308"/>
    <w:rsid w:val="008F2C35"/>
    <w:rsid w:val="008F6665"/>
    <w:rsid w:val="00904591"/>
    <w:rsid w:val="00905E5F"/>
    <w:rsid w:val="0091204F"/>
    <w:rsid w:val="009203DB"/>
    <w:rsid w:val="00923CD4"/>
    <w:rsid w:val="00930EFE"/>
    <w:rsid w:val="00943386"/>
    <w:rsid w:val="009456B6"/>
    <w:rsid w:val="00957589"/>
    <w:rsid w:val="00966D06"/>
    <w:rsid w:val="00982412"/>
    <w:rsid w:val="00983A8D"/>
    <w:rsid w:val="009A0DB8"/>
    <w:rsid w:val="009A7257"/>
    <w:rsid w:val="009D6E0A"/>
    <w:rsid w:val="009E1E33"/>
    <w:rsid w:val="00A14672"/>
    <w:rsid w:val="00A26BD6"/>
    <w:rsid w:val="00A443CF"/>
    <w:rsid w:val="00A6611D"/>
    <w:rsid w:val="00A82CB7"/>
    <w:rsid w:val="00A942C1"/>
    <w:rsid w:val="00AA2F03"/>
    <w:rsid w:val="00AC36F7"/>
    <w:rsid w:val="00AC63A4"/>
    <w:rsid w:val="00AD239E"/>
    <w:rsid w:val="00B10265"/>
    <w:rsid w:val="00B16A99"/>
    <w:rsid w:val="00B21211"/>
    <w:rsid w:val="00B35784"/>
    <w:rsid w:val="00B733A7"/>
    <w:rsid w:val="00B75C91"/>
    <w:rsid w:val="00B975AD"/>
    <w:rsid w:val="00BC45FB"/>
    <w:rsid w:val="00BF148D"/>
    <w:rsid w:val="00C23B1A"/>
    <w:rsid w:val="00C310EB"/>
    <w:rsid w:val="00C9176A"/>
    <w:rsid w:val="00CF1AA2"/>
    <w:rsid w:val="00D17774"/>
    <w:rsid w:val="00D63620"/>
    <w:rsid w:val="00D8410D"/>
    <w:rsid w:val="00D867D7"/>
    <w:rsid w:val="00DB7060"/>
    <w:rsid w:val="00DE3153"/>
    <w:rsid w:val="00E06736"/>
    <w:rsid w:val="00E13C27"/>
    <w:rsid w:val="00E15725"/>
    <w:rsid w:val="00E33BBD"/>
    <w:rsid w:val="00E374F2"/>
    <w:rsid w:val="00E45103"/>
    <w:rsid w:val="00E55A60"/>
    <w:rsid w:val="00E62778"/>
    <w:rsid w:val="00E63D38"/>
    <w:rsid w:val="00E665B9"/>
    <w:rsid w:val="00EA01E6"/>
    <w:rsid w:val="00EA3DE8"/>
    <w:rsid w:val="00EA758F"/>
    <w:rsid w:val="00ED4A6F"/>
    <w:rsid w:val="00EF3358"/>
    <w:rsid w:val="00EF3A3A"/>
    <w:rsid w:val="00F628D6"/>
    <w:rsid w:val="00F67051"/>
    <w:rsid w:val="00F86A1E"/>
    <w:rsid w:val="00FA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  <w14:docId w14:val="7F6961A1"/>
  <w15:docId w15:val="{E7CC2A52-7C30-40EF-A06A-B08F5CE6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430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343430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343430"/>
    <w:rPr>
      <w:sz w:val="36"/>
      <w:szCs w:val="52"/>
    </w:rPr>
  </w:style>
  <w:style w:type="paragraph" w:customStyle="1" w:styleId="Cover3-Haknesset">
    <w:name w:val="Cover 3-Haknesset"/>
    <w:basedOn w:val="Cover1-Reshumot"/>
    <w:rsid w:val="00343430"/>
    <w:rPr>
      <w:b/>
      <w:bCs/>
      <w:spacing w:val="60"/>
    </w:rPr>
  </w:style>
  <w:style w:type="paragraph" w:customStyle="1" w:styleId="Cover4-Date">
    <w:name w:val="Cover 4-Date"/>
    <w:basedOn w:val="a"/>
    <w:rsid w:val="00343430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343430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343430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343430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343430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343430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343430"/>
  </w:style>
  <w:style w:type="paragraph" w:customStyle="1" w:styleId="TableBlock">
    <w:name w:val="Table Block"/>
    <w:basedOn w:val="TableText"/>
    <w:rsid w:val="00343430"/>
    <w:pPr>
      <w:ind w:right="0"/>
      <w:jc w:val="both"/>
    </w:pPr>
  </w:style>
  <w:style w:type="paragraph" w:customStyle="1" w:styleId="TableHead">
    <w:name w:val="Table Head"/>
    <w:basedOn w:val="TableText"/>
    <w:rsid w:val="00343430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343430"/>
  </w:style>
  <w:style w:type="paragraph" w:customStyle="1" w:styleId="Hesber">
    <w:name w:val="Hesber"/>
    <w:basedOn w:val="a"/>
    <w:rsid w:val="00343430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4">
    <w:name w:val="footnote text"/>
    <w:basedOn w:val="a"/>
    <w:link w:val="a5"/>
    <w:autoRedefine/>
    <w:rsid w:val="00343430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styleId="a6">
    <w:name w:val="footnote reference"/>
    <w:aliases w:val="Footnote Reference"/>
    <w:basedOn w:val="a0"/>
    <w:rsid w:val="00343430"/>
    <w:rPr>
      <w:vertAlign w:val="superscript"/>
    </w:rPr>
  </w:style>
  <w:style w:type="paragraph" w:customStyle="1" w:styleId="HesberHeading">
    <w:name w:val="Hesber Heading"/>
    <w:basedOn w:val="Hesber"/>
    <w:rsid w:val="00343430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343430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343430"/>
    <w:pPr>
      <w:tabs>
        <w:tab w:val="left" w:pos="680"/>
        <w:tab w:val="left" w:pos="1020"/>
      </w:tabs>
      <w:ind w:firstLine="0"/>
    </w:pPr>
  </w:style>
  <w:style w:type="character" w:styleId="a7">
    <w:name w:val="endnote reference"/>
    <w:basedOn w:val="a0"/>
    <w:semiHidden/>
    <w:rsid w:val="00343430"/>
    <w:rPr>
      <w:vertAlign w:val="superscript"/>
    </w:rPr>
  </w:style>
  <w:style w:type="paragraph" w:customStyle="1" w:styleId="TableBlockOutdent">
    <w:name w:val="Table BlockOutdent"/>
    <w:basedOn w:val="TableBlock"/>
    <w:rsid w:val="00343430"/>
    <w:pPr>
      <w:ind w:left="624" w:hanging="624"/>
    </w:pPr>
  </w:style>
  <w:style w:type="paragraph" w:styleId="a8">
    <w:name w:val="header"/>
    <w:basedOn w:val="a"/>
    <w:rsid w:val="00343430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343430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343430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343430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a">
    <w:name w:val="Title"/>
    <w:basedOn w:val="a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styleId="ab">
    <w:name w:val="page number"/>
    <w:basedOn w:val="a0"/>
    <w:rsid w:val="00343430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ind w:firstLine="0"/>
      <w:jc w:val="left"/>
    </w:pPr>
    <w:rPr>
      <w:rFonts w:cs="David"/>
      <w:sz w:val="26"/>
      <w:szCs w:val="26"/>
    </w:rPr>
  </w:style>
  <w:style w:type="paragraph" w:styleId="ac">
    <w:name w:val="Balloon Text"/>
    <w:basedOn w:val="a"/>
    <w:link w:val="ad"/>
    <w:semiHidden/>
    <w:unhideWhenUsed/>
    <w:rsid w:val="00325C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  <w:style w:type="character" w:customStyle="1" w:styleId="a5">
    <w:name w:val="טקסט הערת שוליים תו"/>
    <w:link w:val="a4"/>
    <w:rsid w:val="00343430"/>
    <w:rPr>
      <w:rFonts w:ascii="Arial" w:eastAsia="Arial Unicode MS" w:hAnsi="Arial" w:cs="David"/>
      <w:snapToGrid w:val="0"/>
      <w:color w:val="000000"/>
      <w:sz w:val="1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6EB84DF20CE4D8D9D1A5C7A92FD24" ma:contentTypeVersion="0" ma:contentTypeDescription="Create a new document." ma:contentTypeScope="" ma:versionID="99fd2faca98684dfaf8c37f6393491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4AFE3-9455-419C-8851-785A55F44517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CDC32B-DD97-493E-9196-3EF77D6F9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26992C-45C6-4AC1-B26A-BA24551C5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ADA8C8-8B78-4750-A963-7B10F0C6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446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רשומות</vt:lpstr>
      <vt:lpstr>רשומות</vt:lpstr>
    </vt:vector>
  </TitlesOfParts>
  <Company>Knesset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רשומות</dc:title>
  <dc:creator>מיקה צור</dc:creator>
  <cp:lastModifiedBy>לילך יעיש</cp:lastModifiedBy>
  <cp:revision>8</cp:revision>
  <cp:lastPrinted>2017-06-22T09:12:00Z</cp:lastPrinted>
  <dcterms:created xsi:type="dcterms:W3CDTF">2015-04-20T09:58:00Z</dcterms:created>
  <dcterms:modified xsi:type="dcterms:W3CDTF">2017-06-22T09:12:00Z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0x0101008386EB84DF20CE4D8D9D1A5C7A92FD24</vt:lpwstr>
  </property>
  <property fmtid="{D5CDD505-2E9C-101B-9397-08002B2CF9AE}" pid="3" name="_dlc_DocIdItemGuid">
    <vt:lpwstr>8badafff-95aa-4718-b074-a2d35988ffa8</vt:lpwstr>
  </property>
  <property fmtid="{D5CDD505-2E9C-101B-9397-08002B2CF9AE}" pid="4" name="SanhedrinDocumentType">
    <vt:r8>10</vt:r8>
  </property>
  <property fmtid="{D5CDD505-2E9C-101B-9397-08002B2CF9AE}" pid="5" name="SanhedrinItemID">
    <vt:r8>2007822</vt:r8>
  </property>
</Properties>
</file>