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2017474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11A8146B" w:rsidR="00E13C27" w:rsidRPr="00CF1AA2" w:rsidRDefault="008F6665" w:rsidP="003D6424">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יעקב פרי</w:t>
      </w:r>
      <w:r>
        <w:br/>
      </w:r>
      <w:r>
        <w:rPr>
          <w:rFonts w:hint="cs"/>
          <w:b/>
          <w:bCs/>
          <w:rtl/>
        </w:rPr>
        <w:t xml:space="preserve"> </w:t>
      </w:r>
      <w:r>
        <w:tab/>
      </w:r>
      <w:r>
        <w:tab/>
      </w:r>
      <w:r>
        <w:tab/>
      </w:r>
      <w:r>
        <w:tab/>
      </w:r>
      <w:r>
        <w:rPr>
          <w:rFonts w:hint="cs"/>
          <w:b/>
          <w:bCs/>
          <w:rtl/>
        </w:rPr>
        <w:t>רועי פולקמן</w:t>
      </w:r>
      <w:r>
        <w:br/>
      </w:r>
      <w:r>
        <w:rPr>
          <w:rFonts w:hint="cs"/>
          <w:b/>
          <w:bCs/>
          <w:rtl/>
        </w:rPr>
        <w:t xml:space="preserve"> </w:t>
      </w:r>
      <w:r>
        <w:tab/>
      </w:r>
      <w:r>
        <w:tab/>
      </w:r>
      <w:r>
        <w:tab/>
      </w:r>
      <w:r>
        <w:tab/>
      </w:r>
      <w:r>
        <w:rPr>
          <w:rFonts w:hint="cs"/>
          <w:b/>
          <w:bCs/>
          <w:rtl/>
        </w:rPr>
        <w:t>חיים ילין</w:t>
      </w:r>
      <w:r>
        <w:br/>
      </w:r>
      <w:r>
        <w:rPr>
          <w:rFonts w:hint="cs"/>
          <w:b/>
          <w:bCs/>
          <w:rtl/>
        </w:rPr>
        <w:t xml:space="preserve"> </w:t>
      </w:r>
      <w:r>
        <w:tab/>
      </w:r>
      <w:r>
        <w:tab/>
      </w:r>
      <w:r>
        <w:tab/>
      </w:r>
      <w:r>
        <w:tab/>
      </w:r>
      <w:r>
        <w:rPr>
          <w:rFonts w:hint="cs"/>
          <w:b/>
          <w:bCs/>
          <w:rtl/>
        </w:rPr>
        <w:t>עודד פורר</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מאיר כהן</w:t>
      </w:r>
      <w:r>
        <w:br/>
      </w:r>
      <w:r>
        <w:rPr>
          <w:rFonts w:hint="cs"/>
          <w:b/>
          <w:bCs/>
          <w:rtl/>
        </w:rPr>
        <w:t xml:space="preserve"> </w:t>
      </w:r>
      <w:r>
        <w:tab/>
      </w:r>
      <w:r>
        <w:tab/>
      </w:r>
      <w:r>
        <w:tab/>
      </w:r>
      <w:r>
        <w:tab/>
      </w:r>
      <w:r>
        <w:rPr>
          <w:rFonts w:hint="cs"/>
          <w:b/>
          <w:bCs/>
          <w:rtl/>
        </w:rPr>
        <w:t>יואב בן צור</w:t>
      </w:r>
      <w:r>
        <w:br/>
      </w:r>
      <w:r>
        <w:rPr>
          <w:rFonts w:hint="cs"/>
          <w:b/>
          <w:bCs/>
          <w:rtl/>
        </w:rPr>
        <w:t xml:space="preserve"> </w:t>
      </w:r>
      <w:r>
        <w:tab/>
      </w:r>
      <w:r>
        <w:tab/>
      </w:r>
      <w:r>
        <w:tab/>
      </w:r>
      <w:r>
        <w:tab/>
      </w:r>
      <w:r>
        <w:rPr>
          <w:rFonts w:hint="cs"/>
          <w:b/>
          <w:bCs/>
          <w:rtl/>
        </w:rPr>
        <w:t>עפר שלח</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54EC78E8" w:rsidR="00904591" w:rsidRPr="003D6424" w:rsidRDefault="00266D86" w:rsidP="0036422C">
      <w:pPr>
        <w:pStyle w:val="David"/>
        <w:spacing w:before="0" w:line="360" w:lineRule="auto"/>
        <w:ind w:left="3544"/>
        <w:rPr>
          <w:rFonts w:hint="cs"/>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3D6424">
        <w:rPr>
          <w:rtl/>
        </w:rPr>
        <w:tab/>
      </w:r>
      <w:r w:rsidR="003D6424">
        <w:rPr>
          <w:rFonts w:hint="cs"/>
          <w:rtl/>
        </w:rPr>
        <w:t>פ/4327/20</w:t>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 xml:space="preserve"> </w:t>
      </w:r>
      <w:bookmarkEnd w:id="6"/>
    </w:p>
    <w:p w14:paraId="7F6961AD" w14:textId="77777777" w:rsidR="00E13C27" w:rsidRPr="00F67051" w:rsidRDefault="00A443CF" w:rsidP="0021633A">
      <w:pPr>
        <w:pStyle w:val="HeadHatzaotHok"/>
        <w:rPr>
          <w:rtl/>
        </w:rPr>
      </w:pPr>
      <w:bookmarkStart w:id="7" w:name="LGS_Subject"/>
      <w:r>
        <w:rPr>
          <w:rFonts w:hint="cs"/>
          <w:rtl/>
        </w:rPr>
        <w:t>הצעת חוק לתיקון פקודת הבנקאות (הגשת דוחות לוועדת הכלכלה של הכנסת בקביעת הוראות בנושאים צרכניים), התשע"ז–2017</w:t>
      </w:r>
      <w:bookmarkEnd w:id="7"/>
    </w:p>
    <w:p w14:paraId="7F6961AE" w14:textId="77777777" w:rsidR="00E13C27" w:rsidRDefault="00E13C27" w:rsidP="0021633A">
      <w:pPr>
        <w:pStyle w:val="HeadDivreiHesber"/>
        <w:spacing w:before="0" w:after="0"/>
        <w:rPr>
          <w:rtl/>
        </w:rPr>
      </w:pPr>
    </w:p>
    <w:tbl>
      <w:tblPr>
        <w:bidiVisual/>
        <w:tblW w:w="9639" w:type="dxa"/>
        <w:tblLayout w:type="fixed"/>
        <w:tblCellMar>
          <w:top w:w="57" w:type="dxa"/>
          <w:left w:w="0" w:type="dxa"/>
          <w:bottom w:w="57" w:type="dxa"/>
          <w:right w:w="0" w:type="dxa"/>
        </w:tblCellMar>
        <w:tblLook w:val="01E0" w:firstRow="1" w:lastRow="1" w:firstColumn="1" w:lastColumn="1" w:noHBand="0" w:noVBand="0"/>
      </w:tblPr>
      <w:tblGrid>
        <w:gridCol w:w="1872"/>
        <w:gridCol w:w="624"/>
        <w:gridCol w:w="7143"/>
      </w:tblGrid>
      <w:tr w:rsidR="00D43FD3" w14:paraId="7C7CFDA6" w14:textId="77777777" w:rsidTr="008538EA">
        <w:trPr>
          <w:cantSplit/>
        </w:trPr>
        <w:tc>
          <w:tcPr>
            <w:tcW w:w="1872" w:type="dxa"/>
            <w:hideMark/>
          </w:tcPr>
          <w:p w14:paraId="5922C6B8" w14:textId="77777777" w:rsidR="00D43FD3" w:rsidRDefault="00D43FD3">
            <w:pPr>
              <w:pStyle w:val="TableSideHeading"/>
              <w:ind w:right="0"/>
            </w:pPr>
            <w:r>
              <w:rPr>
                <w:rFonts w:hint="cs"/>
                <w:rtl/>
              </w:rPr>
              <w:t>תיקון סעיף 5</w:t>
            </w:r>
          </w:p>
        </w:tc>
        <w:tc>
          <w:tcPr>
            <w:tcW w:w="624" w:type="dxa"/>
            <w:hideMark/>
          </w:tcPr>
          <w:p w14:paraId="262E7895" w14:textId="77777777" w:rsidR="00D43FD3" w:rsidRDefault="00D43FD3">
            <w:pPr>
              <w:pStyle w:val="TableText"/>
              <w:ind w:right="0"/>
              <w:jc w:val="both"/>
              <w:rPr>
                <w:rtl/>
              </w:rPr>
            </w:pPr>
            <w:r>
              <w:rPr>
                <w:rFonts w:hint="cs"/>
                <w:rtl/>
              </w:rPr>
              <w:t>1.</w:t>
            </w:r>
          </w:p>
        </w:tc>
        <w:tc>
          <w:tcPr>
            <w:tcW w:w="7143" w:type="dxa"/>
            <w:hideMark/>
          </w:tcPr>
          <w:p w14:paraId="5FD4A9A5" w14:textId="77777777" w:rsidR="00D43FD3" w:rsidRDefault="00D43FD3" w:rsidP="008538EA">
            <w:pPr>
              <w:pStyle w:val="TableBlock"/>
              <w:rPr>
                <w:spacing w:val="-8"/>
                <w:rtl/>
              </w:rPr>
            </w:pPr>
            <w:r>
              <w:rPr>
                <w:rFonts w:hint="cs"/>
                <w:spacing w:val="-8"/>
                <w:sz w:val="26"/>
                <w:rtl/>
              </w:rPr>
              <w:t>בפקודת הבנקאות</w:t>
            </w:r>
            <w:r>
              <w:rPr>
                <w:rStyle w:val="a6"/>
                <w:spacing w:val="-8"/>
                <w:sz w:val="26"/>
                <w:rtl/>
              </w:rPr>
              <w:footnoteReference w:id="2"/>
            </w:r>
            <w:r>
              <w:rPr>
                <w:rFonts w:hint="cs"/>
                <w:spacing w:val="-8"/>
                <w:sz w:val="26"/>
                <w:rtl/>
              </w:rPr>
              <w:t>, בסעיף 5(ג1), האמור בו יסומן כפסקה "(1)" ואחריה יבוא</w:t>
            </w:r>
            <w:r>
              <w:rPr>
                <w:rFonts w:hint="cs"/>
                <w:spacing w:val="-8"/>
                <w:rtl/>
              </w:rPr>
              <w:t>:</w:t>
            </w:r>
          </w:p>
        </w:tc>
      </w:tr>
      <w:tr w:rsidR="00D43FD3" w14:paraId="6490FADA" w14:textId="77777777" w:rsidTr="008538EA">
        <w:trPr>
          <w:cantSplit/>
        </w:trPr>
        <w:tc>
          <w:tcPr>
            <w:tcW w:w="1872" w:type="dxa"/>
          </w:tcPr>
          <w:p w14:paraId="621BB9EC" w14:textId="77777777" w:rsidR="00D43FD3" w:rsidRDefault="00D43FD3">
            <w:pPr>
              <w:pStyle w:val="TableSideHeading"/>
              <w:ind w:right="0"/>
            </w:pPr>
          </w:p>
        </w:tc>
        <w:tc>
          <w:tcPr>
            <w:tcW w:w="624" w:type="dxa"/>
          </w:tcPr>
          <w:p w14:paraId="5CB86CDF" w14:textId="77777777" w:rsidR="00D43FD3" w:rsidRDefault="00D43FD3">
            <w:pPr>
              <w:pStyle w:val="TableText"/>
              <w:rPr>
                <w:rtl/>
              </w:rPr>
            </w:pPr>
          </w:p>
        </w:tc>
        <w:tc>
          <w:tcPr>
            <w:tcW w:w="7143" w:type="dxa"/>
            <w:hideMark/>
          </w:tcPr>
          <w:p w14:paraId="2A35948F" w14:textId="67604CE0" w:rsidR="00D43FD3" w:rsidRDefault="00D43FD3" w:rsidP="008538EA">
            <w:pPr>
              <w:pStyle w:val="TableBlock"/>
              <w:rPr>
                <w:sz w:val="26"/>
                <w:rtl/>
              </w:rPr>
            </w:pPr>
            <w:r>
              <w:rPr>
                <w:rFonts w:hint="cs"/>
                <w:sz w:val="26"/>
                <w:rtl/>
              </w:rPr>
              <w:t>"(2)</w:t>
            </w:r>
            <w:r>
              <w:rPr>
                <w:rFonts w:hint="cs"/>
                <w:sz w:val="26"/>
                <w:rtl/>
              </w:rPr>
              <w:tab/>
              <w:t>המפק</w:t>
            </w:r>
            <w:r w:rsidR="000D1602">
              <w:rPr>
                <w:rFonts w:hint="cs"/>
                <w:sz w:val="26"/>
                <w:rtl/>
              </w:rPr>
              <w:t>ח ימסור לוועדת הכלכלה של הכנסת</w:t>
            </w:r>
            <w:r>
              <w:rPr>
                <w:rFonts w:hint="cs"/>
                <w:sz w:val="26"/>
                <w:rtl/>
              </w:rPr>
              <w:t xml:space="preserve">, </w:t>
            </w:r>
            <w:r w:rsidR="003D6424">
              <w:rPr>
                <w:rFonts w:hint="cs"/>
                <w:sz w:val="26"/>
                <w:rtl/>
              </w:rPr>
              <w:t>לפחות פעמיים בשנה, על פעילות חטיבת הפיקוח על הבנקים; בדיווח יינתן דגש לפעילותו בכל הנוגע לנושאים צרכניים במסגרת נוהל בנקאי תקין שקבע או שבכוונתו לקבוע; בפסקה זו,</w:t>
            </w:r>
            <w:r>
              <w:rPr>
                <w:rFonts w:hint="cs"/>
                <w:rtl/>
              </w:rPr>
              <w:t xml:space="preserve"> "נושאים צרכניים" – חשבונות לקוחות, יחסים שבין הבנק ובין הלקוח והלוואות."</w:t>
            </w:r>
          </w:p>
        </w:tc>
      </w:tr>
    </w:tbl>
    <w:p w14:paraId="7F6961CA" w14:textId="77777777" w:rsidR="002D1EE3" w:rsidRDefault="002D1EE3" w:rsidP="002D1EE3">
      <w:pPr>
        <w:pStyle w:val="HeadDivreiHesber"/>
        <w:rPr>
          <w:rtl/>
        </w:rPr>
      </w:pPr>
      <w:r w:rsidRPr="0027450A">
        <w:rPr>
          <w:rFonts w:hint="cs"/>
          <w:rtl/>
        </w:rPr>
        <w:t>דברי הסבר</w:t>
      </w:r>
    </w:p>
    <w:p w14:paraId="244B8519" w14:textId="536B77E4" w:rsidR="00D43FD3" w:rsidRDefault="00D43FD3" w:rsidP="00D43FD3">
      <w:pPr>
        <w:pStyle w:val="Hesber"/>
      </w:pPr>
      <w:r>
        <w:rPr>
          <w:rFonts w:hint="cs"/>
          <w:rtl/>
        </w:rPr>
        <w:t>ג</w:t>
      </w:r>
      <w:r w:rsidR="003D6424">
        <w:rPr>
          <w:rFonts w:hint="cs"/>
          <w:rtl/>
        </w:rPr>
        <w:t>ופים רגולטוריים הפועלים בישראל ה</w:t>
      </w:r>
      <w:r>
        <w:rPr>
          <w:rFonts w:hint="cs"/>
          <w:rtl/>
        </w:rPr>
        <w:t>אחראים על פיקוח בנושאים פיננסיים שונים</w:t>
      </w:r>
      <w:r w:rsidR="003D6424">
        <w:rPr>
          <w:rFonts w:hint="cs"/>
          <w:rtl/>
        </w:rPr>
        <w:t>,</w:t>
      </w:r>
      <w:r>
        <w:rPr>
          <w:rFonts w:hint="cs"/>
          <w:rtl/>
        </w:rPr>
        <w:t xml:space="preserve"> רשאים להורות ולקבל החלטות הנוגעות לכלל הציבור באופן שאינו שקוף ואינו מפוקח על ידי נבחרי הציבור. בתוך כך, גם בנק ישראל, שהוא הגוף המפקח על הבנקים, קובע את הנחיותיו באופן עצמאי. </w:t>
      </w:r>
    </w:p>
    <w:p w14:paraId="003DD099" w14:textId="70FE1A0E" w:rsidR="00D43FD3" w:rsidRDefault="00D43FD3" w:rsidP="003D6424">
      <w:pPr>
        <w:pStyle w:val="Hesber"/>
        <w:rPr>
          <w:rtl/>
        </w:rPr>
      </w:pPr>
      <w:r>
        <w:rPr>
          <w:rFonts w:hint="cs"/>
          <w:rtl/>
        </w:rPr>
        <w:t xml:space="preserve">כיום, הוראות ניהול בנקאי תקין </w:t>
      </w:r>
      <w:r w:rsidR="003D6424">
        <w:rPr>
          <w:rFonts w:hint="cs"/>
          <w:rtl/>
        </w:rPr>
        <w:t xml:space="preserve">כפי שהן נקבעות על ידי המפקח על הבנקים, כמו גם שאר פעולותיו, </w:t>
      </w:r>
      <w:r>
        <w:rPr>
          <w:rFonts w:hint="cs"/>
          <w:rtl/>
        </w:rPr>
        <w:t>אינן מפוקחות כאמור ואין צורך להביאן לאישור הכנסת או הממשלה, אף שהן עוסקות בסוגיות מהותיות הנוגעות לכל אזרח בישראל.</w:t>
      </w:r>
    </w:p>
    <w:p w14:paraId="5E78401E" w14:textId="20C04218" w:rsidR="00D43FD3" w:rsidRDefault="00D43FD3" w:rsidP="008538EA">
      <w:pPr>
        <w:pStyle w:val="Hesber"/>
        <w:rPr>
          <w:rtl/>
        </w:rPr>
      </w:pPr>
      <w:r>
        <w:rPr>
          <w:rFonts w:hint="cs"/>
          <w:rtl/>
        </w:rPr>
        <w:t xml:space="preserve">לפיכך, מוצע </w:t>
      </w:r>
      <w:r w:rsidR="003D6424">
        <w:rPr>
          <w:rFonts w:hint="cs"/>
          <w:rtl/>
        </w:rPr>
        <w:t xml:space="preserve">להטיל על המפקח על הבנקים חובה לדווח לוועדת הכללה של הכנסת על פעילות החטיבה </w:t>
      </w:r>
      <w:r w:rsidR="008538EA">
        <w:rPr>
          <w:rFonts w:hint="cs"/>
          <w:rtl/>
        </w:rPr>
        <w:lastRenderedPageBreak/>
        <w:t>שבראשה הוא עומד, בדומה לחובת המ</w:t>
      </w:r>
      <w:r w:rsidR="003D6424">
        <w:rPr>
          <w:rFonts w:hint="cs"/>
          <w:rtl/>
        </w:rPr>
        <w:t>מ</w:t>
      </w:r>
      <w:r w:rsidR="008538EA">
        <w:rPr>
          <w:rFonts w:hint="cs"/>
          <w:rtl/>
        </w:rPr>
        <w:t>ו</w:t>
      </w:r>
      <w:r w:rsidR="003D6424">
        <w:rPr>
          <w:rFonts w:hint="cs"/>
          <w:rtl/>
        </w:rPr>
        <w:t>נה על הממונה על שוק ההון, ביטוח וחיסכון לדווח לוועדת הכספים של הכנסת על פעילות שוק ההון ביטוח וחיסכון לפי סעיף 1ז לחוק הפיקוח על שירותים פיננסיים (ייעוץ, שיווק ומערכת סליקה פנסיוניים), התשס"ה</w:t>
      </w:r>
      <w:r w:rsidR="003D6424">
        <w:rPr>
          <w:rFonts w:hint="eastAsia"/>
          <w:rtl/>
        </w:rPr>
        <w:t>–</w:t>
      </w:r>
      <w:r w:rsidR="003D6424">
        <w:rPr>
          <w:rFonts w:hint="cs"/>
          <w:rtl/>
        </w:rPr>
        <w:t>2005.</w:t>
      </w:r>
      <w:r w:rsidR="008538EA">
        <w:rPr>
          <w:rFonts w:hint="cs"/>
          <w:rtl/>
        </w:rPr>
        <w:t xml:space="preserve"> </w:t>
      </w:r>
      <w:bookmarkStart w:id="8" w:name="_GoBack"/>
      <w:bookmarkEnd w:id="8"/>
      <w:r w:rsidR="008538EA">
        <w:rPr>
          <w:rFonts w:hint="cs"/>
          <w:rtl/>
        </w:rPr>
        <w:t xml:space="preserve">מוצע כי בדיווח יינתן דגש לפעילותו בכל הנוגע לנושאים צרכניים כמו </w:t>
      </w:r>
      <w:r w:rsidR="008538EA">
        <w:rPr>
          <w:rFonts w:hint="cs"/>
        </w:rPr>
        <w:t xml:space="preserve"> </w:t>
      </w:r>
      <w:r w:rsidR="008538EA">
        <w:rPr>
          <w:rFonts w:hint="cs"/>
          <w:rtl/>
        </w:rPr>
        <w:t>חשבונות לקוחות</w:t>
      </w:r>
      <w:r w:rsidR="008538EA">
        <w:rPr>
          <w:rFonts w:hint="cs"/>
          <w:rtl/>
        </w:rPr>
        <w:t xml:space="preserve"> </w:t>
      </w:r>
      <w:r w:rsidR="008538EA">
        <w:rPr>
          <w:rFonts w:hint="cs"/>
          <w:rtl/>
        </w:rPr>
        <w:t>ו</w:t>
      </w:r>
      <w:r w:rsidR="008538EA">
        <w:rPr>
          <w:rFonts w:hint="cs"/>
          <w:rtl/>
        </w:rPr>
        <w:t>יחסים שבין</w:t>
      </w:r>
      <w:r w:rsidR="008538EA">
        <w:rPr>
          <w:rFonts w:hint="cs"/>
          <w:rtl/>
        </w:rPr>
        <w:t xml:space="preserve"> הבנק ללקוח והלוואות, כדי שבדיונים</w:t>
      </w:r>
      <w:r w:rsidR="008538EA">
        <w:rPr>
          <w:rFonts w:hint="cs"/>
          <w:rtl/>
        </w:rPr>
        <w:t xml:space="preserve"> בכנסת יוכל להשתתף כל מי שיראה </w:t>
      </w:r>
      <w:r w:rsidR="008538EA">
        <w:rPr>
          <w:rFonts w:hint="cs"/>
          <w:rtl/>
        </w:rPr>
        <w:t xml:space="preserve">את </w:t>
      </w:r>
      <w:r w:rsidR="008538EA">
        <w:rPr>
          <w:rFonts w:hint="cs"/>
          <w:rtl/>
        </w:rPr>
        <w:t xml:space="preserve">עצמו נפגע מאותן הוראות ובכך לשפר את ההחלטות </w:t>
      </w:r>
      <w:r w:rsidR="008538EA">
        <w:rPr>
          <w:rFonts w:hint="cs"/>
          <w:rtl/>
        </w:rPr>
        <w:t>בנשואים שיובאו לדיון</w:t>
      </w:r>
      <w:r w:rsidR="008538EA">
        <w:rPr>
          <w:rFonts w:hint="cs"/>
          <w:rtl/>
        </w:rPr>
        <w:t xml:space="preserve">. זאת, מתוך תפיסה כי "אור השמש הוא המחטא הטוב ביותר" וכי דיון ציבורי פתוח יוביל לרגולציה טובה יותר. </w:t>
      </w:r>
    </w:p>
    <w:p w14:paraId="4640A421" w14:textId="45EB33EC" w:rsidR="00D43FD3" w:rsidRDefault="00D43FD3" w:rsidP="008538EA">
      <w:pPr>
        <w:pStyle w:val="Hesber"/>
        <w:rPr>
          <w:rtl/>
        </w:rPr>
      </w:pPr>
      <w:r>
        <w:rPr>
          <w:rFonts w:hint="cs"/>
          <w:rtl/>
        </w:rPr>
        <w:t xml:space="preserve">ההכרח להגן על החלטות המפקח על הבנקים והעברת ההחלטות וההוראות תחת ביקורת ועדת הכלכלה של הכנסת ישפרו את השקיפות בתהליך קבלת ההחלטות ואת הוראות </w:t>
      </w:r>
      <w:r w:rsidR="008538EA">
        <w:rPr>
          <w:rFonts w:hint="cs"/>
          <w:rtl/>
        </w:rPr>
        <w:t xml:space="preserve">ניהול </w:t>
      </w:r>
      <w:r>
        <w:rPr>
          <w:rFonts w:hint="cs"/>
          <w:rtl/>
        </w:rPr>
        <w:t>בנק</w:t>
      </w:r>
      <w:r w:rsidR="008538EA">
        <w:rPr>
          <w:rFonts w:hint="cs"/>
          <w:rtl/>
        </w:rPr>
        <w:t>אי תקין שהוא קובע</w:t>
      </w:r>
      <w:r>
        <w:rPr>
          <w:rFonts w:hint="cs"/>
          <w:rtl/>
        </w:rPr>
        <w:t>.</w:t>
      </w:r>
      <w:r w:rsidR="008538EA">
        <w:rPr>
          <w:rFonts w:hint="cs"/>
          <w:rtl/>
        </w:rPr>
        <w:t xml:space="preserve"> דיווח כאמור לוועדה, פעמיים בשנה, יאפשר</w:t>
      </w:r>
      <w:r>
        <w:rPr>
          <w:rFonts w:hint="cs"/>
          <w:rtl/>
        </w:rPr>
        <w:t xml:space="preserve"> למפקח להציג לנבחרי הציבור את </w:t>
      </w:r>
      <w:r w:rsidR="008538EA">
        <w:rPr>
          <w:rFonts w:hint="cs"/>
          <w:rtl/>
        </w:rPr>
        <w:t xml:space="preserve">מכלול השיקולים שנלקחו בחשבון </w:t>
      </w:r>
      <w:r>
        <w:rPr>
          <w:rFonts w:hint="cs"/>
          <w:rtl/>
        </w:rPr>
        <w:t>באופן רחב וענייני.</w:t>
      </w:r>
    </w:p>
    <w:p w14:paraId="38E55710" w14:textId="166FBCA4" w:rsidR="00D43FD3" w:rsidRDefault="00D43FD3" w:rsidP="008538EA">
      <w:pPr>
        <w:pStyle w:val="Hesber"/>
        <w:rPr>
          <w:rtl/>
        </w:rPr>
      </w:pPr>
      <w:r>
        <w:rPr>
          <w:rFonts w:hint="cs"/>
          <w:rtl/>
        </w:rPr>
        <w:t xml:space="preserve">יודגש, כי הצעת החוק </w:t>
      </w:r>
      <w:r w:rsidR="008538EA">
        <w:rPr>
          <w:rFonts w:hint="cs"/>
          <w:rtl/>
        </w:rPr>
        <w:t>נועדה לשמור</w:t>
      </w:r>
      <w:r>
        <w:rPr>
          <w:rFonts w:hint="cs"/>
          <w:rtl/>
        </w:rPr>
        <w:t xml:space="preserve"> על עצמאותו של בנק ישראל, שכן הבנק יידרש להציג בפני ועדת הכלכלה של הכנסת דין וחשבון על פעולותיו בנושאים הצרכניים, פעמיים בשנה, ומבלי לחייב את הבאת ההוראות בנושאים אלה לאישור הוועדה. </w:t>
      </w:r>
    </w:p>
    <w:p w14:paraId="5149C8D1" w14:textId="43EEAAF0" w:rsidR="00D43FD3" w:rsidRDefault="00D43FD3" w:rsidP="008538EA">
      <w:pPr>
        <w:pStyle w:val="Hesber"/>
        <w:rPr>
          <w:rtl/>
        </w:rPr>
      </w:pPr>
      <w:r>
        <w:rPr>
          <w:rFonts w:hint="cs"/>
          <w:rtl/>
        </w:rPr>
        <w:t>מתווה דומה בעיקרו חל גם על הרשות לניירות ערך, המחויבת על פי חוק ניירות ערך, תשכ"ח</w:t>
      </w:r>
      <w:r w:rsidR="008538EA">
        <w:rPr>
          <w:rFonts w:hint="eastAsia"/>
          <w:rtl/>
        </w:rPr>
        <w:t>–</w:t>
      </w:r>
      <w:r>
        <w:rPr>
          <w:rFonts w:hint="cs"/>
          <w:rtl/>
        </w:rPr>
        <w:t>1968</w:t>
      </w:r>
      <w:r w:rsidR="008538EA">
        <w:rPr>
          <w:rFonts w:hint="cs"/>
          <w:rtl/>
        </w:rPr>
        <w:t xml:space="preserve">, במסירת דוחות על פעילותיה לשר האוצר ולוועדת הכספים של הכנסת, </w:t>
      </w:r>
      <w:r w:rsidR="008538EA">
        <w:rPr>
          <w:rFonts w:hint="cs"/>
          <w:rtl/>
        </w:rPr>
        <w:t>על פי דרישתם ולפחות אחת לשנה.</w:t>
      </w:r>
    </w:p>
    <w:p w14:paraId="58A819B2" w14:textId="77777777" w:rsidR="008538EA" w:rsidRDefault="008538EA" w:rsidP="008538EA">
      <w:pPr>
        <w:pStyle w:val="Hesber"/>
        <w:rPr>
          <w:rtl/>
        </w:rPr>
      </w:pPr>
    </w:p>
    <w:p w14:paraId="4D338788" w14:textId="77777777" w:rsidR="008538EA" w:rsidRDefault="008538EA" w:rsidP="008538EA">
      <w:pPr>
        <w:pStyle w:val="Hesber"/>
        <w:rPr>
          <w:rtl/>
        </w:rPr>
      </w:pPr>
    </w:p>
    <w:p w14:paraId="770D1AE1" w14:textId="77777777" w:rsidR="008538EA" w:rsidRPr="00D73212" w:rsidRDefault="008538EA" w:rsidP="008538EA">
      <w:pPr>
        <w:pStyle w:val="Hesber"/>
        <w:rPr>
          <w:color w:val="auto"/>
          <w:rtl/>
          <w:lang w:eastAsia="en-US"/>
        </w:rPr>
      </w:pPr>
      <w:r w:rsidRPr="00D73212">
        <w:rPr>
          <w:color w:val="auto"/>
          <w:rtl/>
          <w:lang w:eastAsia="en-US"/>
        </w:rPr>
        <w:t>---------------------------------</w:t>
      </w:r>
    </w:p>
    <w:p w14:paraId="4CCD1EB3" w14:textId="77777777" w:rsidR="008538EA" w:rsidRPr="00D73212" w:rsidRDefault="008538EA" w:rsidP="008538EA">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741FA7B2" w14:textId="77777777" w:rsidR="008538EA" w:rsidRPr="00D73212" w:rsidRDefault="008538EA" w:rsidP="008538EA">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7D713C5D" w14:textId="77777777" w:rsidR="008538EA" w:rsidRPr="00317312" w:rsidRDefault="008538EA" w:rsidP="008538EA">
      <w:pPr>
        <w:pStyle w:val="Hesber"/>
      </w:pPr>
      <w:r>
        <w:rPr>
          <w:rFonts w:hint="cs"/>
          <w:color w:val="auto"/>
          <w:rtl/>
          <w:lang w:eastAsia="en-US"/>
        </w:rPr>
        <w:t>כ"ה בסיוון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19.6</w:t>
      </w:r>
      <w:r w:rsidRPr="00D73212">
        <w:rPr>
          <w:color w:val="auto"/>
          <w:rtl/>
          <w:lang w:eastAsia="en-US"/>
        </w:rPr>
        <w:t>.</w:t>
      </w:r>
      <w:r>
        <w:rPr>
          <w:rFonts w:hint="cs"/>
          <w:color w:val="auto"/>
          <w:rtl/>
          <w:lang w:eastAsia="en-US"/>
        </w:rPr>
        <w:t>17</w:t>
      </w:r>
    </w:p>
    <w:p w14:paraId="7C25C0C8" w14:textId="77777777" w:rsidR="008538EA" w:rsidRDefault="008538EA" w:rsidP="008538EA">
      <w:pPr>
        <w:spacing w:before="0" w:line="360" w:lineRule="auto"/>
        <w:ind w:left="340" w:firstLine="0"/>
        <w:rPr>
          <w:rFonts w:ascii="Arial" w:eastAsia="Arial Unicode MS" w:hAnsi="Arial" w:cs="David"/>
          <w:snapToGrid w:val="0"/>
          <w:spacing w:val="0"/>
          <w:sz w:val="20"/>
          <w:szCs w:val="26"/>
          <w:rtl/>
        </w:rPr>
      </w:pPr>
    </w:p>
    <w:p w14:paraId="57DB7F81" w14:textId="77777777" w:rsidR="008538EA" w:rsidRDefault="008538EA" w:rsidP="008538EA">
      <w:pPr>
        <w:pStyle w:val="Hesber"/>
        <w:rPr>
          <w:rtl/>
        </w:rPr>
      </w:pPr>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8538EA">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8F47349" w14:textId="77777777" w:rsidR="00D43FD3" w:rsidRDefault="00D43FD3" w:rsidP="00D43FD3">
      <w:pPr>
        <w:pStyle w:val="a4"/>
        <w:rPr>
          <w:rtl/>
        </w:rPr>
      </w:pPr>
      <w:r>
        <w:rPr>
          <w:rStyle w:val="a6"/>
        </w:rPr>
        <w:footnoteRef/>
      </w:r>
      <w:r>
        <w:rPr>
          <w:rFonts w:hint="cs"/>
          <w:rtl/>
        </w:rPr>
        <w:t xml:space="preserve"> ע"ר מס' 1134, עמ' (ע) 69, (א)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D1602"/>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424"/>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538EA"/>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43FD3"/>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EA"/>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semiHidden/>
    <w:rsid w:val="008538E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538EA"/>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8538EA"/>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8538EA"/>
    <w:rPr>
      <w:sz w:val="36"/>
      <w:szCs w:val="52"/>
    </w:rPr>
  </w:style>
  <w:style w:type="paragraph" w:customStyle="1" w:styleId="Cover3-Haknesset">
    <w:name w:val="Cover 3-Haknesset"/>
    <w:basedOn w:val="Cover1-Reshumot"/>
    <w:rsid w:val="008538EA"/>
    <w:rPr>
      <w:b/>
      <w:bCs/>
      <w:spacing w:val="60"/>
    </w:rPr>
  </w:style>
  <w:style w:type="paragraph" w:customStyle="1" w:styleId="Cover4-Date">
    <w:name w:val="Cover 4-Date"/>
    <w:basedOn w:val="a"/>
    <w:rsid w:val="008538EA"/>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8538EA"/>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8538EA"/>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8538EA"/>
    <w:pPr>
      <w:spacing w:before="120" w:after="120"/>
    </w:pPr>
    <w:rPr>
      <w:color w:val="FF0000"/>
      <w:w w:val="80"/>
    </w:rPr>
  </w:style>
  <w:style w:type="paragraph" w:styleId="a3">
    <w:name w:val="endnote text"/>
    <w:basedOn w:val="a"/>
    <w:semiHidden/>
    <w:rsid w:val="008538EA"/>
    <w:pPr>
      <w:ind w:left="227" w:hanging="227"/>
    </w:pPr>
    <w:rPr>
      <w:sz w:val="14"/>
      <w:szCs w:val="22"/>
    </w:rPr>
  </w:style>
  <w:style w:type="paragraph" w:customStyle="1" w:styleId="TableText">
    <w:name w:val="Table Text"/>
    <w:basedOn w:val="a"/>
    <w:rsid w:val="008538EA"/>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8538EA"/>
  </w:style>
  <w:style w:type="paragraph" w:customStyle="1" w:styleId="TableBlock">
    <w:name w:val="Table Block"/>
    <w:basedOn w:val="TableText"/>
    <w:rsid w:val="008538EA"/>
    <w:pPr>
      <w:ind w:right="0"/>
      <w:jc w:val="both"/>
    </w:pPr>
  </w:style>
  <w:style w:type="paragraph" w:customStyle="1" w:styleId="TableHead">
    <w:name w:val="Table Head"/>
    <w:basedOn w:val="TableText"/>
    <w:rsid w:val="008538EA"/>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8538EA"/>
  </w:style>
  <w:style w:type="paragraph" w:customStyle="1" w:styleId="Hesber">
    <w:name w:val="Hesber"/>
    <w:basedOn w:val="a"/>
    <w:rsid w:val="008538EA"/>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8538EA"/>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8538EA"/>
    <w:rPr>
      <w:vertAlign w:val="superscript"/>
    </w:rPr>
  </w:style>
  <w:style w:type="paragraph" w:customStyle="1" w:styleId="HesberHeading">
    <w:name w:val="Hesber Heading"/>
    <w:basedOn w:val="Hesber"/>
    <w:rsid w:val="008538EA"/>
    <w:pPr>
      <w:tabs>
        <w:tab w:val="left" w:pos="624"/>
        <w:tab w:val="left" w:pos="1247"/>
      </w:tabs>
      <w:ind w:firstLine="0"/>
    </w:pPr>
    <w:rPr>
      <w:b/>
      <w:bCs/>
    </w:rPr>
  </w:style>
  <w:style w:type="paragraph" w:customStyle="1" w:styleId="HesberWriters">
    <w:name w:val="Hesber Writers"/>
    <w:basedOn w:val="Hesber"/>
    <w:rsid w:val="008538EA"/>
    <w:pPr>
      <w:spacing w:before="120" w:after="6000"/>
      <w:ind w:left="1418" w:firstLine="0"/>
      <w:jc w:val="right"/>
    </w:pPr>
    <w:rPr>
      <w:b/>
      <w:bCs/>
    </w:rPr>
  </w:style>
  <w:style w:type="paragraph" w:customStyle="1" w:styleId="Hesber1st">
    <w:name w:val="Hesber 1st"/>
    <w:basedOn w:val="Hesber"/>
    <w:rsid w:val="008538EA"/>
    <w:pPr>
      <w:tabs>
        <w:tab w:val="left" w:pos="680"/>
        <w:tab w:val="left" w:pos="1020"/>
      </w:tabs>
      <w:ind w:firstLine="0"/>
    </w:pPr>
  </w:style>
  <w:style w:type="character" w:styleId="a7">
    <w:name w:val="endnote reference"/>
    <w:basedOn w:val="a0"/>
    <w:semiHidden/>
    <w:rsid w:val="008538EA"/>
    <w:rPr>
      <w:vertAlign w:val="superscript"/>
    </w:rPr>
  </w:style>
  <w:style w:type="paragraph" w:customStyle="1" w:styleId="TableBlockOutdent">
    <w:name w:val="Table BlockOutdent"/>
    <w:basedOn w:val="TableBlock"/>
    <w:rsid w:val="008538EA"/>
    <w:pPr>
      <w:ind w:left="624" w:hanging="624"/>
    </w:pPr>
  </w:style>
  <w:style w:type="paragraph" w:styleId="a8">
    <w:name w:val="header"/>
    <w:basedOn w:val="a"/>
    <w:rsid w:val="008538EA"/>
    <w:pPr>
      <w:tabs>
        <w:tab w:val="center" w:pos="4153"/>
        <w:tab w:val="right" w:pos="8306"/>
      </w:tabs>
    </w:pPr>
  </w:style>
  <w:style w:type="paragraph" w:styleId="a9">
    <w:name w:val="footer"/>
    <w:basedOn w:val="a"/>
    <w:rsid w:val="008538EA"/>
    <w:pPr>
      <w:tabs>
        <w:tab w:val="center" w:pos="4153"/>
        <w:tab w:val="right" w:pos="8306"/>
      </w:tabs>
    </w:pPr>
  </w:style>
  <w:style w:type="paragraph" w:customStyle="1" w:styleId="HeadDivreiHesber">
    <w:name w:val="Head DivreiHesber"/>
    <w:basedOn w:val="a"/>
    <w:rsid w:val="008538EA"/>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8538EA"/>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8538EA"/>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D43FD3"/>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5665">
      <w:bodyDiv w:val="1"/>
      <w:marLeft w:val="0"/>
      <w:marRight w:val="0"/>
      <w:marTop w:val="0"/>
      <w:marBottom w:val="0"/>
      <w:divBdr>
        <w:top w:val="none" w:sz="0" w:space="0" w:color="auto"/>
        <w:left w:val="none" w:sz="0" w:space="0" w:color="auto"/>
        <w:bottom w:val="none" w:sz="0" w:space="0" w:color="auto"/>
        <w:right w:val="none" w:sz="0" w:space="0" w:color="auto"/>
      </w:divBdr>
    </w:div>
    <w:div w:id="350297998">
      <w:bodyDiv w:val="1"/>
      <w:marLeft w:val="0"/>
      <w:marRight w:val="0"/>
      <w:marTop w:val="0"/>
      <w:marBottom w:val="0"/>
      <w:divBdr>
        <w:top w:val="none" w:sz="0" w:space="0" w:color="auto"/>
        <w:left w:val="none" w:sz="0" w:space="0" w:color="auto"/>
        <w:bottom w:val="none" w:sz="0" w:space="0" w:color="auto"/>
        <w:right w:val="none" w:sz="0" w:space="0" w:color="auto"/>
      </w:divBdr>
    </w:div>
    <w:div w:id="1167942613">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5331A1-8847-4B0C-A0EF-551E8A1AC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AA59D087-02F9-413A-B6B1-FC8078A4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467</Words>
  <Characters>2220</Characters>
  <Application>Microsoft Office Word</Application>
  <DocSecurity>0</DocSecurity>
  <Lines>170</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5</cp:revision>
  <cp:lastPrinted>2013-07-04T08:25:00Z</cp:lastPrinted>
  <dcterms:created xsi:type="dcterms:W3CDTF">2015-04-20T09:58:00Z</dcterms:created>
  <dcterms:modified xsi:type="dcterms:W3CDTF">2017-06-19T08:14:00Z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2017474</vt:r8>
  </property>
</Properties>
</file>