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D2CEF" w14:textId="77777777" w:rsidR="00B27CE8" w:rsidRPr="0000131B" w:rsidRDefault="00B27CE8" w:rsidP="00B27CE8">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2017566</w:t>
      </w:r>
      <w:bookmarkEnd w:id="0"/>
    </w:p>
    <w:p w14:paraId="6741C515" w14:textId="77777777" w:rsidR="00B27CE8" w:rsidRPr="00DB7060" w:rsidRDefault="00B27CE8" w:rsidP="00B27CE8">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6132A4FF" w14:textId="77777777" w:rsidR="00B27CE8" w:rsidRPr="00F67051" w:rsidRDefault="00B27CE8" w:rsidP="00B27CE8">
      <w:pPr>
        <w:rPr>
          <w:rFonts w:cs="David"/>
          <w:b/>
          <w:bCs/>
          <w:sz w:val="26"/>
          <w:szCs w:val="26"/>
          <w:rtl/>
        </w:rPr>
      </w:pPr>
    </w:p>
    <w:p w14:paraId="2415E923" w14:textId="66973427" w:rsidR="00B27CE8" w:rsidRPr="00CF1AA2" w:rsidRDefault="00B27CE8" w:rsidP="001B6B7A">
      <w:pPr>
        <w:pStyle w:val="David"/>
        <w:spacing w:line="360" w:lineRule="auto"/>
        <w:ind w:left="3544"/>
        <w:rPr>
          <w:b/>
          <w:bCs/>
          <w:sz w:val="16"/>
          <w:szCs w:val="16"/>
          <w:rtl/>
        </w:rPr>
      </w:pPr>
      <w:bookmarkStart w:id="2" w:name="LGS_Initiators_List"/>
      <w:r>
        <w:rPr>
          <w:b/>
          <w:bCs/>
          <w:rtl/>
        </w:rPr>
        <w:t>יוזמים:      חברי הכנסת</w:t>
      </w:r>
      <w:bookmarkEnd w:id="2"/>
      <w:r w:rsidRPr="00F67051">
        <w:rPr>
          <w:b/>
          <w:bCs/>
        </w:rPr>
        <w:tab/>
      </w:r>
      <w:bookmarkStart w:id="3" w:name="LGS_PM_Names"/>
      <w:r>
        <w:rPr>
          <w:rFonts w:hint="cs"/>
          <w:b/>
          <w:bCs/>
          <w:rtl/>
        </w:rPr>
        <w:t>יואל חסון</w:t>
      </w:r>
      <w:r>
        <w:br/>
      </w:r>
      <w:r>
        <w:rPr>
          <w:rFonts w:hint="cs"/>
          <w:b/>
          <w:bCs/>
          <w:rtl/>
        </w:rPr>
        <w:t xml:space="preserve"> </w:t>
      </w:r>
      <w:r>
        <w:tab/>
      </w:r>
      <w:r>
        <w:tab/>
      </w:r>
      <w:r>
        <w:tab/>
      </w:r>
      <w:r>
        <w:tab/>
      </w:r>
      <w:r>
        <w:rPr>
          <w:rFonts w:hint="cs"/>
          <w:b/>
          <w:bCs/>
          <w:rtl/>
        </w:rPr>
        <w:t>דוד ביטן</w:t>
      </w:r>
      <w:bookmarkStart w:id="4" w:name="LGS_Join_List"/>
      <w:bookmarkEnd w:id="3"/>
      <w:r>
        <w:rPr>
          <w:rtl/>
        </w:rPr>
        <w:t xml:space="preserve"> </w:t>
      </w:r>
      <w:bookmarkEnd w:id="4"/>
      <w:r w:rsidRPr="00CF1AA2">
        <w:rPr>
          <w:rFonts w:hint="cs"/>
          <w:rtl/>
        </w:rPr>
        <w:tab/>
      </w:r>
      <w:bookmarkStart w:id="5" w:name="LGS_PM_NamesJoin"/>
      <w:r>
        <w:rPr>
          <w:rFonts w:hint="cs"/>
          <w:rtl/>
        </w:rPr>
        <w:t xml:space="preserve"> </w:t>
      </w:r>
      <w:bookmarkEnd w:id="5"/>
    </w:p>
    <w:p w14:paraId="779DA593" w14:textId="59819F69" w:rsidR="00B27CE8" w:rsidRPr="00904591" w:rsidRDefault="00B27CE8" w:rsidP="00B27CE8">
      <w:pPr>
        <w:pStyle w:val="David"/>
        <w:spacing w:before="0" w:line="360" w:lineRule="auto"/>
        <w:ind w:left="3544"/>
        <w:rPr>
          <w:rFonts w:hint="cs"/>
          <w:sz w:val="4"/>
          <w:szCs w:val="4"/>
          <w:rtl/>
        </w:rPr>
      </w:pPr>
      <w:r>
        <w:t>______________________________________________</w:t>
      </w:r>
      <w:r w:rsidRPr="00E06736">
        <w:tab/>
      </w:r>
      <w:r w:rsidRPr="00E06736">
        <w:rPr>
          <w:rFonts w:hint="cs"/>
          <w:rtl/>
        </w:rPr>
        <w:tab/>
      </w:r>
      <w:r w:rsidRPr="00E06736">
        <w:rPr>
          <w:rFonts w:hint="cs"/>
          <w:rtl/>
        </w:rPr>
        <w:tab/>
      </w:r>
      <w:r w:rsidRPr="00E06736">
        <w:rPr>
          <w:rFonts w:hint="cs"/>
          <w:rtl/>
        </w:rPr>
        <w:tab/>
      </w:r>
      <w:r>
        <w:t xml:space="preserve">           </w:t>
      </w:r>
      <w:r w:rsidR="001B6B7A">
        <w:rPr>
          <w:rFonts w:hint="cs"/>
          <w:sz w:val="4"/>
          <w:szCs w:val="4"/>
          <w:rtl/>
        </w:rPr>
        <w:t>פ</w:t>
      </w:r>
      <w:r w:rsidR="001B6B7A">
        <w:rPr>
          <w:rFonts w:hint="cs"/>
          <w:rtl/>
        </w:rPr>
        <w:t>פ/4306/20</w:t>
      </w:r>
    </w:p>
    <w:p w14:paraId="75E5EBA4" w14:textId="21C7E800" w:rsidR="00B27CE8" w:rsidRPr="00F67051" w:rsidRDefault="00B27CE8" w:rsidP="001B6B7A">
      <w:pPr>
        <w:pStyle w:val="HeadHatzaotHok"/>
        <w:rPr>
          <w:rtl/>
        </w:rPr>
      </w:pPr>
      <w:bookmarkStart w:id="6" w:name="LGS_Subject"/>
      <w:r>
        <w:rPr>
          <w:rFonts w:hint="cs"/>
          <w:rtl/>
        </w:rPr>
        <w:t xml:space="preserve">הצעת חוק-יסוד: הכנסת (תיקון </w:t>
      </w:r>
      <w:r w:rsidR="001B6B7A">
        <w:rPr>
          <w:rFonts w:hint="eastAsia"/>
          <w:rtl/>
        </w:rPr>
        <w:t>–</w:t>
      </w:r>
      <w:r>
        <w:rPr>
          <w:rFonts w:hint="cs"/>
          <w:rtl/>
        </w:rPr>
        <w:t xml:space="preserve"> הפסקת חברות בכנסת של חבר כנסת המכהן כשר)</w:t>
      </w:r>
      <w:bookmarkEnd w:id="6"/>
    </w:p>
    <w:p w14:paraId="108DDA82" w14:textId="77777777" w:rsidR="00B27CE8" w:rsidRDefault="00B27CE8" w:rsidP="00B27CE8">
      <w:pPr>
        <w:pStyle w:val="HeadDivreiHesber"/>
        <w:spacing w:before="0" w:after="0"/>
        <w:rPr>
          <w:rtl/>
        </w:rPr>
      </w:pPr>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0"/>
        <w:gridCol w:w="624"/>
        <w:gridCol w:w="624"/>
        <w:gridCol w:w="624"/>
        <w:gridCol w:w="5896"/>
      </w:tblGrid>
      <w:tr w:rsidR="00B27CE8" w14:paraId="5DA1B8A0" w14:textId="77777777" w:rsidTr="001857CA">
        <w:trPr>
          <w:cantSplit/>
        </w:trPr>
        <w:tc>
          <w:tcPr>
            <w:tcW w:w="1870" w:type="dxa"/>
          </w:tcPr>
          <w:p w14:paraId="2D045E4E" w14:textId="77777777" w:rsidR="00B27CE8" w:rsidRPr="005E16E3" w:rsidRDefault="00B27CE8" w:rsidP="001857CA">
            <w:pPr>
              <w:pStyle w:val="TableSideHeading"/>
              <w:tabs>
                <w:tab w:val="clear" w:pos="1247"/>
                <w:tab w:val="left" w:pos="1136"/>
              </w:tabs>
              <w:ind w:right="0"/>
            </w:pPr>
            <w:r>
              <w:rPr>
                <w:rFonts w:hint="cs"/>
                <w:rtl/>
              </w:rPr>
              <w:t>תיקון סעיף 42ג</w:t>
            </w:r>
          </w:p>
        </w:tc>
        <w:tc>
          <w:tcPr>
            <w:tcW w:w="624" w:type="dxa"/>
          </w:tcPr>
          <w:p w14:paraId="1BA2AF34" w14:textId="77777777" w:rsidR="00B27CE8" w:rsidRDefault="00B27CE8" w:rsidP="001857CA">
            <w:pPr>
              <w:pStyle w:val="TableText"/>
              <w:keepLines w:val="0"/>
              <w:ind w:right="0"/>
              <w:jc w:val="both"/>
              <w:rPr>
                <w:rtl/>
              </w:rPr>
            </w:pPr>
            <w:r>
              <w:rPr>
                <w:rFonts w:hint="cs"/>
                <w:rtl/>
              </w:rPr>
              <w:t>1.</w:t>
            </w:r>
          </w:p>
        </w:tc>
        <w:tc>
          <w:tcPr>
            <w:tcW w:w="7144" w:type="dxa"/>
            <w:gridSpan w:val="3"/>
          </w:tcPr>
          <w:p w14:paraId="4B2821B3" w14:textId="77777777" w:rsidR="00B27CE8" w:rsidRPr="005E16E3" w:rsidRDefault="00B27CE8" w:rsidP="001857CA">
            <w:pPr>
              <w:pStyle w:val="TableBlock"/>
            </w:pPr>
            <w:r w:rsidRPr="005E16E3">
              <w:rPr>
                <w:rFonts w:hint="cs"/>
                <w:rtl/>
              </w:rPr>
              <w:t>בחוק</w:t>
            </w:r>
            <w:r>
              <w:rPr>
                <w:rFonts w:hint="cs"/>
                <w:rtl/>
              </w:rPr>
              <w:t>-</w:t>
            </w:r>
            <w:r w:rsidRPr="005E16E3">
              <w:rPr>
                <w:rFonts w:hint="cs"/>
                <w:rtl/>
              </w:rPr>
              <w:t>יסוד: הכנסת</w:t>
            </w:r>
            <w:r w:rsidRPr="001F3DF9">
              <w:rPr>
                <w:vertAlign w:val="superscript"/>
                <w:rtl/>
              </w:rPr>
              <w:footnoteReference w:id="2"/>
            </w:r>
            <w:r w:rsidRPr="001F3DF9">
              <w:rPr>
                <w:rFonts w:hint="cs"/>
                <w:vertAlign w:val="superscript"/>
                <w:rtl/>
              </w:rPr>
              <w:t xml:space="preserve"> </w:t>
            </w:r>
            <w:r>
              <w:rPr>
                <w:rFonts w:hint="cs"/>
                <w:rtl/>
              </w:rPr>
              <w:t xml:space="preserve">(להלן </w:t>
            </w:r>
            <w:r>
              <w:rPr>
                <w:rtl/>
              </w:rPr>
              <w:t>–</w:t>
            </w:r>
            <w:r>
              <w:rPr>
                <w:rFonts w:hint="cs"/>
                <w:rtl/>
              </w:rPr>
              <w:t xml:space="preserve"> החוק העיקרי),</w:t>
            </w:r>
            <w:r w:rsidRPr="005E16E3">
              <w:rPr>
                <w:rFonts w:hint="cs"/>
                <w:rtl/>
              </w:rPr>
              <w:t xml:space="preserve"> </w:t>
            </w:r>
            <w:r>
              <w:rPr>
                <w:rFonts w:hint="cs"/>
                <w:rtl/>
              </w:rPr>
              <w:t xml:space="preserve">בסעיף 42ג </w:t>
            </w:r>
            <w:r>
              <w:rPr>
                <w:rFonts w:hint="eastAsia"/>
                <w:rtl/>
              </w:rPr>
              <w:t>–</w:t>
            </w:r>
            <w:r>
              <w:rPr>
                <w:rFonts w:hint="cs"/>
                <w:rtl/>
              </w:rPr>
              <w:t xml:space="preserve"> </w:t>
            </w:r>
          </w:p>
        </w:tc>
      </w:tr>
      <w:tr w:rsidR="00B27CE8" w14:paraId="312E0AA2" w14:textId="77777777" w:rsidTr="001857CA">
        <w:trPr>
          <w:cantSplit/>
        </w:trPr>
        <w:tc>
          <w:tcPr>
            <w:tcW w:w="1870" w:type="dxa"/>
          </w:tcPr>
          <w:p w14:paraId="2034C1D8" w14:textId="77777777" w:rsidR="00B27CE8" w:rsidRDefault="00B27CE8" w:rsidP="001857CA">
            <w:pPr>
              <w:pStyle w:val="TableSideHeading"/>
              <w:tabs>
                <w:tab w:val="clear" w:pos="1247"/>
                <w:tab w:val="left" w:pos="1136"/>
              </w:tabs>
              <w:ind w:right="0"/>
              <w:rPr>
                <w:rtl/>
              </w:rPr>
            </w:pPr>
          </w:p>
        </w:tc>
        <w:tc>
          <w:tcPr>
            <w:tcW w:w="624" w:type="dxa"/>
          </w:tcPr>
          <w:p w14:paraId="22FD4EA4" w14:textId="77777777" w:rsidR="00B27CE8" w:rsidRDefault="00B27CE8" w:rsidP="001857CA">
            <w:pPr>
              <w:pStyle w:val="TableText"/>
              <w:keepLines w:val="0"/>
              <w:ind w:right="0"/>
              <w:jc w:val="both"/>
              <w:rPr>
                <w:rtl/>
              </w:rPr>
            </w:pPr>
          </w:p>
        </w:tc>
        <w:tc>
          <w:tcPr>
            <w:tcW w:w="7144" w:type="dxa"/>
            <w:gridSpan w:val="3"/>
          </w:tcPr>
          <w:p w14:paraId="6ABEB4E1" w14:textId="4990F354" w:rsidR="00B27CE8" w:rsidRDefault="00B27CE8" w:rsidP="001857CA">
            <w:pPr>
              <w:pStyle w:val="TableBlock"/>
              <w:rPr>
                <w:rtl/>
              </w:rPr>
            </w:pPr>
            <w:r>
              <w:rPr>
                <w:rFonts w:hint="cs"/>
                <w:rtl/>
              </w:rPr>
              <w:t>(1)</w:t>
            </w:r>
            <w:r>
              <w:rPr>
                <w:rtl/>
              </w:rPr>
              <w:tab/>
            </w:r>
            <w:r>
              <w:rPr>
                <w:rFonts w:hint="cs"/>
                <w:rtl/>
              </w:rPr>
              <w:t xml:space="preserve">בסעיף קטן (א), המילים "או כסגן שר" </w:t>
            </w:r>
            <w:r>
              <w:rPr>
                <w:rtl/>
              </w:rPr>
              <w:t>–</w:t>
            </w:r>
            <w:r>
              <w:rPr>
                <w:rFonts w:hint="cs"/>
                <w:rtl/>
              </w:rPr>
              <w:t xml:space="preserve"> יימחקו</w:t>
            </w:r>
            <w:r w:rsidR="00DF7DAD">
              <w:rPr>
                <w:rFonts w:hint="cs"/>
                <w:rtl/>
              </w:rPr>
              <w:t>,</w:t>
            </w:r>
            <w:r>
              <w:rPr>
                <w:rFonts w:hint="cs"/>
                <w:rtl/>
              </w:rPr>
              <w:t xml:space="preserve"> ובמקום "רשאי להפסיק" יבוא "יפסיק";</w:t>
            </w:r>
          </w:p>
        </w:tc>
      </w:tr>
      <w:tr w:rsidR="00B27CE8" w14:paraId="67B4BF36" w14:textId="77777777" w:rsidTr="001857CA">
        <w:trPr>
          <w:cantSplit/>
          <w:trHeight w:val="60"/>
        </w:trPr>
        <w:tc>
          <w:tcPr>
            <w:tcW w:w="1870" w:type="dxa"/>
          </w:tcPr>
          <w:p w14:paraId="4E5ABC19" w14:textId="77777777" w:rsidR="00B27CE8" w:rsidRDefault="00B27CE8" w:rsidP="001857CA">
            <w:pPr>
              <w:pStyle w:val="TableSideHeading"/>
            </w:pPr>
          </w:p>
        </w:tc>
        <w:tc>
          <w:tcPr>
            <w:tcW w:w="624" w:type="dxa"/>
          </w:tcPr>
          <w:p w14:paraId="09EEDD5B" w14:textId="77777777" w:rsidR="00B27CE8" w:rsidRDefault="00B27CE8" w:rsidP="001857CA">
            <w:pPr>
              <w:pStyle w:val="TableText"/>
            </w:pPr>
          </w:p>
        </w:tc>
        <w:tc>
          <w:tcPr>
            <w:tcW w:w="7144" w:type="dxa"/>
            <w:gridSpan w:val="3"/>
          </w:tcPr>
          <w:p w14:paraId="2BAEB078" w14:textId="77777777" w:rsidR="00B27CE8" w:rsidRDefault="00B27CE8" w:rsidP="001857CA">
            <w:pPr>
              <w:pStyle w:val="TableText"/>
            </w:pPr>
            <w:r>
              <w:rPr>
                <w:rFonts w:hint="cs"/>
                <w:rtl/>
              </w:rPr>
              <w:t xml:space="preserve">(2) </w:t>
            </w:r>
            <w:r>
              <w:rPr>
                <w:rtl/>
              </w:rPr>
              <w:tab/>
            </w:r>
            <w:r>
              <w:rPr>
                <w:rFonts w:hint="cs"/>
                <w:rtl/>
              </w:rPr>
              <w:t xml:space="preserve">בסעיף קטן (ג), המילים "או סגן שר" </w:t>
            </w:r>
            <w:r>
              <w:rPr>
                <w:rtl/>
              </w:rPr>
              <w:t>–</w:t>
            </w:r>
            <w:r>
              <w:rPr>
                <w:rFonts w:hint="cs"/>
                <w:rtl/>
              </w:rPr>
              <w:t xml:space="preserve"> יימחקו;</w:t>
            </w:r>
          </w:p>
        </w:tc>
      </w:tr>
      <w:tr w:rsidR="00B27CE8" w14:paraId="2D9353C5" w14:textId="77777777" w:rsidTr="001857CA">
        <w:trPr>
          <w:cantSplit/>
        </w:trPr>
        <w:tc>
          <w:tcPr>
            <w:tcW w:w="1870" w:type="dxa"/>
          </w:tcPr>
          <w:p w14:paraId="1C186FBC" w14:textId="77777777" w:rsidR="00B27CE8" w:rsidRDefault="00B27CE8" w:rsidP="001857CA">
            <w:pPr>
              <w:pStyle w:val="TableSideHeading"/>
              <w:tabs>
                <w:tab w:val="clear" w:pos="1247"/>
                <w:tab w:val="left" w:pos="1136"/>
              </w:tabs>
              <w:ind w:right="0"/>
              <w:rPr>
                <w:rtl/>
              </w:rPr>
            </w:pPr>
          </w:p>
        </w:tc>
        <w:tc>
          <w:tcPr>
            <w:tcW w:w="624" w:type="dxa"/>
          </w:tcPr>
          <w:p w14:paraId="70832F19" w14:textId="77777777" w:rsidR="00B27CE8" w:rsidRDefault="00B27CE8" w:rsidP="001857CA">
            <w:pPr>
              <w:pStyle w:val="TableText"/>
              <w:keepLines w:val="0"/>
              <w:ind w:right="0"/>
              <w:jc w:val="both"/>
              <w:rPr>
                <w:rtl/>
              </w:rPr>
            </w:pPr>
          </w:p>
        </w:tc>
        <w:tc>
          <w:tcPr>
            <w:tcW w:w="7144" w:type="dxa"/>
            <w:gridSpan w:val="3"/>
          </w:tcPr>
          <w:p w14:paraId="73B2CDF0" w14:textId="77777777" w:rsidR="00B27CE8" w:rsidRDefault="00B27CE8" w:rsidP="001857CA">
            <w:pPr>
              <w:pStyle w:val="TableBlock"/>
              <w:rPr>
                <w:rtl/>
              </w:rPr>
            </w:pPr>
            <w:r>
              <w:rPr>
                <w:rFonts w:hint="cs"/>
                <w:rtl/>
              </w:rPr>
              <w:t>(3)</w:t>
            </w:r>
            <w:r>
              <w:rPr>
                <w:rtl/>
              </w:rPr>
              <w:tab/>
            </w:r>
            <w:r>
              <w:rPr>
                <w:rFonts w:hint="cs"/>
                <w:rtl/>
              </w:rPr>
              <w:t xml:space="preserve">סעיפים קטנים (ד) ו-(ה) </w:t>
            </w:r>
            <w:r>
              <w:rPr>
                <w:rFonts w:hint="eastAsia"/>
                <w:rtl/>
              </w:rPr>
              <w:t>–</w:t>
            </w:r>
            <w:r>
              <w:rPr>
                <w:rFonts w:hint="cs"/>
                <w:rtl/>
              </w:rPr>
              <w:t xml:space="preserve"> בטלים;</w:t>
            </w:r>
          </w:p>
        </w:tc>
      </w:tr>
      <w:tr w:rsidR="00B27CE8" w14:paraId="65B63D95" w14:textId="77777777" w:rsidTr="001857CA">
        <w:trPr>
          <w:cantSplit/>
        </w:trPr>
        <w:tc>
          <w:tcPr>
            <w:tcW w:w="1870" w:type="dxa"/>
          </w:tcPr>
          <w:p w14:paraId="08016F7B" w14:textId="77777777" w:rsidR="00B27CE8" w:rsidRDefault="00B27CE8" w:rsidP="001857CA">
            <w:pPr>
              <w:pStyle w:val="TableSideHeading"/>
            </w:pPr>
          </w:p>
        </w:tc>
        <w:tc>
          <w:tcPr>
            <w:tcW w:w="624" w:type="dxa"/>
          </w:tcPr>
          <w:p w14:paraId="3A1E7D07" w14:textId="77777777" w:rsidR="00B27CE8" w:rsidRDefault="00B27CE8" w:rsidP="001857CA">
            <w:pPr>
              <w:pStyle w:val="TableText"/>
            </w:pPr>
          </w:p>
        </w:tc>
        <w:tc>
          <w:tcPr>
            <w:tcW w:w="7144" w:type="dxa"/>
            <w:gridSpan w:val="3"/>
          </w:tcPr>
          <w:p w14:paraId="3EAF49FD" w14:textId="77777777" w:rsidR="00B27CE8" w:rsidRDefault="00B27CE8" w:rsidP="001857CA">
            <w:pPr>
              <w:pStyle w:val="TableBlock"/>
            </w:pPr>
            <w:r>
              <w:rPr>
                <w:rFonts w:hint="cs"/>
                <w:rtl/>
              </w:rPr>
              <w:t>(4)</w:t>
            </w:r>
            <w:r>
              <w:rPr>
                <w:rtl/>
              </w:rPr>
              <w:tab/>
            </w:r>
            <w:r>
              <w:rPr>
                <w:rFonts w:hint="cs"/>
                <w:rtl/>
              </w:rPr>
              <w:t>אחרי סעיף קטן (ה) יבוא:</w:t>
            </w:r>
          </w:p>
        </w:tc>
      </w:tr>
      <w:tr w:rsidR="00B27CE8" w14:paraId="73855DB1" w14:textId="77777777" w:rsidTr="001857CA">
        <w:trPr>
          <w:cantSplit/>
          <w:trHeight w:val="60"/>
        </w:trPr>
        <w:tc>
          <w:tcPr>
            <w:tcW w:w="1870" w:type="dxa"/>
          </w:tcPr>
          <w:p w14:paraId="1B6572B2" w14:textId="77777777" w:rsidR="00B27CE8" w:rsidRDefault="00B27CE8" w:rsidP="001857CA">
            <w:pPr>
              <w:pStyle w:val="TableSideHeading"/>
            </w:pPr>
          </w:p>
        </w:tc>
        <w:tc>
          <w:tcPr>
            <w:tcW w:w="624" w:type="dxa"/>
          </w:tcPr>
          <w:p w14:paraId="1DEDC9EB" w14:textId="77777777" w:rsidR="00B27CE8" w:rsidRDefault="00B27CE8" w:rsidP="001857CA">
            <w:pPr>
              <w:pStyle w:val="TableText"/>
            </w:pPr>
          </w:p>
        </w:tc>
        <w:tc>
          <w:tcPr>
            <w:tcW w:w="624" w:type="dxa"/>
          </w:tcPr>
          <w:p w14:paraId="4667F923" w14:textId="77777777" w:rsidR="00B27CE8" w:rsidRDefault="00B27CE8" w:rsidP="001857CA">
            <w:pPr>
              <w:pStyle w:val="TableText"/>
            </w:pPr>
          </w:p>
        </w:tc>
        <w:tc>
          <w:tcPr>
            <w:tcW w:w="6520" w:type="dxa"/>
            <w:gridSpan w:val="2"/>
          </w:tcPr>
          <w:p w14:paraId="1DCD9978" w14:textId="41AF1764" w:rsidR="00B27CE8" w:rsidRDefault="00B27CE8" w:rsidP="00DF7DAD">
            <w:pPr>
              <w:pStyle w:val="TableBlock"/>
            </w:pPr>
            <w:r>
              <w:rPr>
                <w:rFonts w:hint="cs"/>
                <w:rtl/>
              </w:rPr>
              <w:t>"(ו)</w:t>
            </w:r>
            <w:r>
              <w:rPr>
                <w:rtl/>
              </w:rPr>
              <w:tab/>
            </w:r>
            <w:r>
              <w:rPr>
                <w:rFonts w:hint="cs"/>
                <w:rtl/>
              </w:rPr>
              <w:t>הוראות סעיף זה יחולו על 19 חברי ממשלה בלבד, למעט ראש הממשלה, כאמור בסעיף 5(ו) לחוק-יסוד: הממשלה</w:t>
            </w:r>
            <w:r>
              <w:rPr>
                <w:rStyle w:val="a6"/>
                <w:rtl/>
              </w:rPr>
              <w:footnoteReference w:id="3"/>
            </w:r>
            <w:r>
              <w:rPr>
                <w:rFonts w:hint="cs"/>
                <w:rtl/>
              </w:rPr>
              <w:t xml:space="preserve">; </w:t>
            </w:r>
            <w:r w:rsidR="00DF7DAD">
              <w:rPr>
                <w:rFonts w:hint="cs"/>
                <w:rtl/>
              </w:rPr>
              <w:t>צורפו ל</w:t>
            </w:r>
            <w:r>
              <w:rPr>
                <w:rFonts w:hint="cs"/>
                <w:rtl/>
              </w:rPr>
              <w:t xml:space="preserve">ממשלה שרים מעבר למספר זה, יוחרגו </w:t>
            </w:r>
            <w:r w:rsidR="00DF7DAD">
              <w:rPr>
                <w:rFonts w:hint="cs"/>
                <w:rtl/>
              </w:rPr>
              <w:t xml:space="preserve">שרים </w:t>
            </w:r>
            <w:r>
              <w:rPr>
                <w:rFonts w:hint="cs"/>
                <w:rtl/>
              </w:rPr>
              <w:t>מהוראות סעיף זה לפי הסדר הבא:</w:t>
            </w:r>
          </w:p>
        </w:tc>
      </w:tr>
      <w:tr w:rsidR="00B27CE8" w14:paraId="5E3802D4" w14:textId="77777777" w:rsidTr="001857CA">
        <w:trPr>
          <w:cantSplit/>
        </w:trPr>
        <w:tc>
          <w:tcPr>
            <w:tcW w:w="1870" w:type="dxa"/>
          </w:tcPr>
          <w:p w14:paraId="5E684BFB" w14:textId="77777777" w:rsidR="00B27CE8" w:rsidRDefault="00B27CE8" w:rsidP="001857CA">
            <w:pPr>
              <w:pStyle w:val="TableSideHeading"/>
              <w:ind w:right="0"/>
              <w:rPr>
                <w:rtl/>
              </w:rPr>
            </w:pPr>
          </w:p>
        </w:tc>
        <w:tc>
          <w:tcPr>
            <w:tcW w:w="624" w:type="dxa"/>
          </w:tcPr>
          <w:p w14:paraId="6237BF9D" w14:textId="77777777" w:rsidR="00B27CE8" w:rsidRDefault="00B27CE8" w:rsidP="001857CA">
            <w:pPr>
              <w:pStyle w:val="TableText"/>
              <w:ind w:right="0"/>
              <w:jc w:val="both"/>
            </w:pPr>
          </w:p>
        </w:tc>
        <w:tc>
          <w:tcPr>
            <w:tcW w:w="624" w:type="dxa"/>
          </w:tcPr>
          <w:p w14:paraId="0FBEC54D" w14:textId="77777777" w:rsidR="00B27CE8" w:rsidRDefault="00B27CE8" w:rsidP="001857CA">
            <w:pPr>
              <w:pStyle w:val="TableText"/>
              <w:ind w:right="0"/>
              <w:jc w:val="both"/>
            </w:pPr>
          </w:p>
        </w:tc>
        <w:tc>
          <w:tcPr>
            <w:tcW w:w="624" w:type="dxa"/>
          </w:tcPr>
          <w:p w14:paraId="24A3D797" w14:textId="77777777" w:rsidR="00B27CE8" w:rsidRDefault="00B27CE8" w:rsidP="001857CA">
            <w:pPr>
              <w:pStyle w:val="TableBlock"/>
              <w:ind w:left="369"/>
              <w:textAlignment w:val="auto"/>
            </w:pPr>
          </w:p>
        </w:tc>
        <w:tc>
          <w:tcPr>
            <w:tcW w:w="5896" w:type="dxa"/>
          </w:tcPr>
          <w:p w14:paraId="3C9293AC" w14:textId="77777777" w:rsidR="00B27CE8" w:rsidRDefault="00B27CE8" w:rsidP="001857CA">
            <w:pPr>
              <w:pStyle w:val="TableText"/>
              <w:ind w:right="0"/>
              <w:jc w:val="both"/>
              <w:rPr>
                <w:rtl/>
              </w:rPr>
            </w:pPr>
            <w:r>
              <w:rPr>
                <w:rFonts w:hint="cs"/>
                <w:rtl/>
              </w:rPr>
              <w:t>(1)</w:t>
            </w:r>
            <w:r>
              <w:rPr>
                <w:rtl/>
              </w:rPr>
              <w:tab/>
            </w:r>
            <w:r>
              <w:rPr>
                <w:rFonts w:hint="cs"/>
                <w:rtl/>
              </w:rPr>
              <w:t>שרים בלי תיק;</w:t>
            </w:r>
          </w:p>
        </w:tc>
      </w:tr>
      <w:tr w:rsidR="00B27CE8" w14:paraId="7E812615" w14:textId="77777777" w:rsidTr="001857CA">
        <w:trPr>
          <w:cantSplit/>
        </w:trPr>
        <w:tc>
          <w:tcPr>
            <w:tcW w:w="1870" w:type="dxa"/>
          </w:tcPr>
          <w:p w14:paraId="25D15496" w14:textId="77777777" w:rsidR="00B27CE8" w:rsidRDefault="00B27CE8" w:rsidP="001857CA">
            <w:pPr>
              <w:pStyle w:val="TableSideHeading"/>
              <w:ind w:right="0"/>
              <w:rPr>
                <w:rtl/>
              </w:rPr>
            </w:pPr>
          </w:p>
        </w:tc>
        <w:tc>
          <w:tcPr>
            <w:tcW w:w="624" w:type="dxa"/>
          </w:tcPr>
          <w:p w14:paraId="6AA6C29A" w14:textId="77777777" w:rsidR="00B27CE8" w:rsidRDefault="00B27CE8" w:rsidP="001857CA">
            <w:pPr>
              <w:pStyle w:val="TableText"/>
              <w:ind w:right="0"/>
              <w:jc w:val="both"/>
            </w:pPr>
          </w:p>
        </w:tc>
        <w:tc>
          <w:tcPr>
            <w:tcW w:w="624" w:type="dxa"/>
          </w:tcPr>
          <w:p w14:paraId="1A846C0F" w14:textId="77777777" w:rsidR="00B27CE8" w:rsidRDefault="00B27CE8" w:rsidP="001857CA">
            <w:pPr>
              <w:pStyle w:val="TableText"/>
              <w:ind w:right="0"/>
              <w:jc w:val="both"/>
            </w:pPr>
          </w:p>
        </w:tc>
        <w:tc>
          <w:tcPr>
            <w:tcW w:w="624" w:type="dxa"/>
          </w:tcPr>
          <w:p w14:paraId="65323451" w14:textId="77777777" w:rsidR="00B27CE8" w:rsidRDefault="00B27CE8" w:rsidP="001857CA">
            <w:pPr>
              <w:pStyle w:val="TableBlock"/>
              <w:ind w:left="369"/>
              <w:textAlignment w:val="auto"/>
            </w:pPr>
          </w:p>
        </w:tc>
        <w:tc>
          <w:tcPr>
            <w:tcW w:w="5896" w:type="dxa"/>
          </w:tcPr>
          <w:p w14:paraId="520E0275" w14:textId="77777777" w:rsidR="00B27CE8" w:rsidRDefault="00B27CE8" w:rsidP="001857CA">
            <w:pPr>
              <w:pStyle w:val="TableText"/>
              <w:ind w:right="0"/>
              <w:jc w:val="both"/>
              <w:rPr>
                <w:rtl/>
              </w:rPr>
            </w:pPr>
            <w:r>
              <w:rPr>
                <w:rFonts w:hint="cs"/>
                <w:rtl/>
              </w:rPr>
              <w:t>(2)</w:t>
            </w:r>
            <w:r>
              <w:rPr>
                <w:rtl/>
              </w:rPr>
              <w:tab/>
            </w:r>
            <w:r>
              <w:rPr>
                <w:rFonts w:hint="cs"/>
                <w:rtl/>
              </w:rPr>
              <w:t>שרים</w:t>
            </w:r>
            <w:r>
              <w:rPr>
                <w:rtl/>
              </w:rPr>
              <w:t xml:space="preserve"> שהממשלה תכריע על החרגתם מתחולת </w:t>
            </w:r>
            <w:r>
              <w:rPr>
                <w:rFonts w:hint="cs"/>
                <w:rtl/>
              </w:rPr>
              <w:t>סעיף זה</w:t>
            </w:r>
            <w:r>
              <w:rPr>
                <w:rtl/>
              </w:rPr>
              <w:t>.</w:t>
            </w:r>
            <w:r>
              <w:rPr>
                <w:rFonts w:hint="cs"/>
                <w:rtl/>
              </w:rPr>
              <w:t>"</w:t>
            </w:r>
          </w:p>
        </w:tc>
      </w:tr>
      <w:tr w:rsidR="00B27CE8" w14:paraId="2ED13883" w14:textId="77777777" w:rsidTr="001857CA">
        <w:trPr>
          <w:cantSplit/>
        </w:trPr>
        <w:tc>
          <w:tcPr>
            <w:tcW w:w="1870" w:type="dxa"/>
          </w:tcPr>
          <w:p w14:paraId="3B9EDCD4" w14:textId="77777777" w:rsidR="00B27CE8" w:rsidRDefault="00B27CE8" w:rsidP="001857CA">
            <w:pPr>
              <w:pStyle w:val="TableSideHeading"/>
            </w:pPr>
            <w:r>
              <w:rPr>
                <w:rFonts w:hint="cs"/>
                <w:rtl/>
              </w:rPr>
              <w:t>תיקון סעיף 43</w:t>
            </w:r>
          </w:p>
        </w:tc>
        <w:tc>
          <w:tcPr>
            <w:tcW w:w="624" w:type="dxa"/>
          </w:tcPr>
          <w:p w14:paraId="588A8BC1" w14:textId="77777777" w:rsidR="00B27CE8" w:rsidRDefault="00B27CE8" w:rsidP="001857CA">
            <w:pPr>
              <w:pStyle w:val="TableText"/>
            </w:pPr>
            <w:r>
              <w:rPr>
                <w:rFonts w:hint="cs"/>
                <w:rtl/>
              </w:rPr>
              <w:t>2.</w:t>
            </w:r>
          </w:p>
        </w:tc>
        <w:tc>
          <w:tcPr>
            <w:tcW w:w="7144" w:type="dxa"/>
            <w:gridSpan w:val="3"/>
          </w:tcPr>
          <w:p w14:paraId="562043AD" w14:textId="66FF666A" w:rsidR="00B27CE8" w:rsidRDefault="00B27CE8" w:rsidP="00DF7DAD">
            <w:pPr>
              <w:pStyle w:val="TableBlock"/>
              <w:textAlignment w:val="auto"/>
              <w:rPr>
                <w:rtl/>
              </w:rPr>
            </w:pPr>
            <w:r>
              <w:rPr>
                <w:rFonts w:hint="cs"/>
                <w:rtl/>
              </w:rPr>
              <w:t>בסעיף 43 לחוק</w:t>
            </w:r>
            <w:r w:rsidR="00DF7DAD">
              <w:rPr>
                <w:rFonts w:hint="cs"/>
                <w:rtl/>
              </w:rPr>
              <w:t xml:space="preserve"> העיקרי, סעיפים קטנים (ד) ו-(ו)</w:t>
            </w:r>
            <w:r>
              <w:rPr>
                <w:rFonts w:hint="cs"/>
                <w:rtl/>
              </w:rPr>
              <w:t xml:space="preserve"> </w:t>
            </w:r>
            <w:r>
              <w:rPr>
                <w:rtl/>
              </w:rPr>
              <w:t>–</w:t>
            </w:r>
            <w:r>
              <w:rPr>
                <w:rFonts w:hint="cs"/>
                <w:rtl/>
              </w:rPr>
              <w:t xml:space="preserve"> בטלים.</w:t>
            </w:r>
          </w:p>
        </w:tc>
      </w:tr>
      <w:tr w:rsidR="00B27CE8" w14:paraId="4EEC897C" w14:textId="77777777" w:rsidTr="001857CA">
        <w:trPr>
          <w:cantSplit/>
        </w:trPr>
        <w:tc>
          <w:tcPr>
            <w:tcW w:w="1870" w:type="dxa"/>
          </w:tcPr>
          <w:p w14:paraId="2B71CC50" w14:textId="2CF01999" w:rsidR="00B27CE8" w:rsidRDefault="00DF7DAD" w:rsidP="001857CA">
            <w:pPr>
              <w:pStyle w:val="TableSideHeading"/>
              <w:rPr>
                <w:rtl/>
              </w:rPr>
            </w:pPr>
            <w:r>
              <w:rPr>
                <w:rFonts w:hint="cs"/>
                <w:rtl/>
              </w:rPr>
              <w:t>תיקון חוק-</w:t>
            </w:r>
            <w:r w:rsidR="00B27CE8">
              <w:rPr>
                <w:rFonts w:hint="cs"/>
                <w:rtl/>
              </w:rPr>
              <w:t>יסוד: הכנסת (תיקון מס' 42 והוראת שעה)</w:t>
            </w:r>
          </w:p>
        </w:tc>
        <w:tc>
          <w:tcPr>
            <w:tcW w:w="624" w:type="dxa"/>
          </w:tcPr>
          <w:p w14:paraId="47B7E0EB" w14:textId="77777777" w:rsidR="00B27CE8" w:rsidRDefault="00B27CE8" w:rsidP="001857CA">
            <w:pPr>
              <w:pStyle w:val="TableText"/>
              <w:rPr>
                <w:rtl/>
              </w:rPr>
            </w:pPr>
            <w:r>
              <w:rPr>
                <w:rFonts w:hint="cs"/>
                <w:rtl/>
              </w:rPr>
              <w:t>3.</w:t>
            </w:r>
          </w:p>
        </w:tc>
        <w:tc>
          <w:tcPr>
            <w:tcW w:w="7144" w:type="dxa"/>
            <w:gridSpan w:val="3"/>
          </w:tcPr>
          <w:p w14:paraId="743C78A0" w14:textId="77777777" w:rsidR="00B27CE8" w:rsidRDefault="00B27CE8" w:rsidP="001857CA">
            <w:pPr>
              <w:pStyle w:val="TableBlock"/>
            </w:pPr>
            <w:r>
              <w:rPr>
                <w:rFonts w:hint="cs"/>
                <w:rtl/>
              </w:rPr>
              <w:t>בחוק-יסוד: הכנסת (תיקון מס' 42 והוראת שעה)</w:t>
            </w:r>
            <w:r>
              <w:rPr>
                <w:rStyle w:val="a6"/>
                <w:rtl/>
              </w:rPr>
              <w:footnoteReference w:id="4"/>
            </w:r>
            <w:r>
              <w:rPr>
                <w:rFonts w:hint="cs"/>
                <w:rtl/>
              </w:rPr>
              <w:t xml:space="preserve">, סעיף 6 </w:t>
            </w:r>
            <w:r>
              <w:rPr>
                <w:rtl/>
              </w:rPr>
              <w:t>–</w:t>
            </w:r>
            <w:r>
              <w:rPr>
                <w:rFonts w:hint="cs"/>
                <w:rtl/>
              </w:rPr>
              <w:t xml:space="preserve"> בטל.</w:t>
            </w:r>
          </w:p>
        </w:tc>
      </w:tr>
      <w:tr w:rsidR="00B27CE8" w14:paraId="08009C04" w14:textId="77777777" w:rsidTr="001857CA">
        <w:trPr>
          <w:cantSplit/>
        </w:trPr>
        <w:tc>
          <w:tcPr>
            <w:tcW w:w="1870" w:type="dxa"/>
          </w:tcPr>
          <w:p w14:paraId="63634185" w14:textId="77777777" w:rsidR="00B27CE8" w:rsidRDefault="00B27CE8" w:rsidP="001857CA">
            <w:pPr>
              <w:pStyle w:val="TableSideHeading"/>
              <w:rPr>
                <w:rtl/>
              </w:rPr>
            </w:pPr>
            <w:r>
              <w:rPr>
                <w:rFonts w:hint="cs"/>
                <w:rtl/>
              </w:rPr>
              <w:lastRenderedPageBreak/>
              <w:t>תיקון חוק הפסקת חברות בכנסת של חבר הכנסת המכהן כשר או כסגן שר (תיקוני חקיקה והוראת שעה), התשע"ה</w:t>
            </w:r>
            <w:r>
              <w:rPr>
                <w:rFonts w:hint="eastAsia"/>
                <w:rtl/>
              </w:rPr>
              <w:t>–</w:t>
            </w:r>
            <w:r>
              <w:rPr>
                <w:rFonts w:hint="cs"/>
                <w:rtl/>
              </w:rPr>
              <w:t>2015</w:t>
            </w:r>
          </w:p>
        </w:tc>
        <w:tc>
          <w:tcPr>
            <w:tcW w:w="624" w:type="dxa"/>
          </w:tcPr>
          <w:p w14:paraId="71D58599" w14:textId="77777777" w:rsidR="00B27CE8" w:rsidRDefault="00B27CE8" w:rsidP="001857CA">
            <w:pPr>
              <w:pStyle w:val="TableText"/>
              <w:rPr>
                <w:rtl/>
              </w:rPr>
            </w:pPr>
            <w:r>
              <w:rPr>
                <w:rFonts w:hint="cs"/>
                <w:rtl/>
              </w:rPr>
              <w:t>4.</w:t>
            </w:r>
          </w:p>
        </w:tc>
        <w:tc>
          <w:tcPr>
            <w:tcW w:w="7144" w:type="dxa"/>
            <w:gridSpan w:val="3"/>
          </w:tcPr>
          <w:p w14:paraId="27732935" w14:textId="77777777" w:rsidR="00B27CE8" w:rsidRDefault="00B27CE8" w:rsidP="001857CA">
            <w:pPr>
              <w:pStyle w:val="TableBlock"/>
            </w:pPr>
            <w:r>
              <w:rPr>
                <w:rFonts w:hint="cs"/>
                <w:rtl/>
              </w:rPr>
              <w:t>בחוק הפסקת חברות בכנסת של חבר הכנסת המכהן כשר או כסגן שר (תיקוני חקיקה והוראת שעה), התשע"ה</w:t>
            </w:r>
            <w:r>
              <w:rPr>
                <w:rFonts w:hint="eastAsia"/>
                <w:rtl/>
              </w:rPr>
              <w:t>–</w:t>
            </w:r>
            <w:r>
              <w:rPr>
                <w:rFonts w:hint="cs"/>
                <w:rtl/>
              </w:rPr>
              <w:t>2015</w:t>
            </w:r>
            <w:r>
              <w:rPr>
                <w:rStyle w:val="a6"/>
                <w:rtl/>
              </w:rPr>
              <w:footnoteReference w:id="5"/>
            </w:r>
            <w:r>
              <w:rPr>
                <w:rFonts w:hint="cs"/>
                <w:rtl/>
              </w:rPr>
              <w:t xml:space="preserve">, סעיף 9 </w:t>
            </w:r>
            <w:r>
              <w:rPr>
                <w:rtl/>
              </w:rPr>
              <w:t>–</w:t>
            </w:r>
            <w:r>
              <w:rPr>
                <w:rFonts w:hint="cs"/>
                <w:rtl/>
              </w:rPr>
              <w:t xml:space="preserve"> בטל.</w:t>
            </w:r>
          </w:p>
        </w:tc>
      </w:tr>
      <w:tr w:rsidR="00B27CE8" w14:paraId="4E5C4366" w14:textId="77777777" w:rsidTr="001857CA">
        <w:trPr>
          <w:cantSplit/>
        </w:trPr>
        <w:tc>
          <w:tcPr>
            <w:tcW w:w="1870" w:type="dxa"/>
          </w:tcPr>
          <w:p w14:paraId="1A6DFD0D" w14:textId="77777777" w:rsidR="00B27CE8" w:rsidRDefault="00B27CE8" w:rsidP="001857CA">
            <w:pPr>
              <w:pStyle w:val="TableSideHeading"/>
              <w:rPr>
                <w:rtl/>
              </w:rPr>
            </w:pPr>
            <w:r>
              <w:rPr>
                <w:rFonts w:hint="cs"/>
                <w:rtl/>
              </w:rPr>
              <w:t>תחילה</w:t>
            </w:r>
          </w:p>
        </w:tc>
        <w:tc>
          <w:tcPr>
            <w:tcW w:w="624" w:type="dxa"/>
          </w:tcPr>
          <w:p w14:paraId="0891AD06" w14:textId="77777777" w:rsidR="00B27CE8" w:rsidRDefault="00B27CE8" w:rsidP="001857CA">
            <w:pPr>
              <w:pStyle w:val="TableText"/>
              <w:rPr>
                <w:rtl/>
              </w:rPr>
            </w:pPr>
            <w:r>
              <w:rPr>
                <w:rFonts w:hint="cs"/>
                <w:rtl/>
              </w:rPr>
              <w:t>5.</w:t>
            </w:r>
          </w:p>
        </w:tc>
        <w:tc>
          <w:tcPr>
            <w:tcW w:w="7144" w:type="dxa"/>
            <w:gridSpan w:val="3"/>
          </w:tcPr>
          <w:p w14:paraId="57A775BA" w14:textId="77777777" w:rsidR="00B27CE8" w:rsidRDefault="00B27CE8" w:rsidP="001857CA">
            <w:pPr>
              <w:pStyle w:val="TableBlock"/>
            </w:pPr>
            <w:r>
              <w:rPr>
                <w:rFonts w:hint="cs"/>
                <w:rtl/>
              </w:rPr>
              <w:t xml:space="preserve">תחילתם של סעיפים 1 ו-2 לחוק העיקרי, עם תחילת כהונתה של הכנסת ה-21. </w:t>
            </w:r>
          </w:p>
        </w:tc>
      </w:tr>
    </w:tbl>
    <w:p w14:paraId="4492904C" w14:textId="77777777" w:rsidR="00B27CE8" w:rsidRPr="00A72D77" w:rsidRDefault="00B27CE8" w:rsidP="00B27CE8">
      <w:pPr>
        <w:pStyle w:val="HeadDivreiHesber"/>
        <w:rPr>
          <w:rtl/>
        </w:rPr>
      </w:pPr>
      <w:r>
        <w:rPr>
          <w:rFonts w:hint="cs"/>
          <w:rtl/>
        </w:rPr>
        <w:t>דברי ה</w:t>
      </w:r>
      <w:r w:rsidRPr="00A72D77">
        <w:rPr>
          <w:rFonts w:hint="cs"/>
          <w:rtl/>
        </w:rPr>
        <w:t>סבר</w:t>
      </w:r>
    </w:p>
    <w:p w14:paraId="45B69132" w14:textId="744C3EB2" w:rsidR="00B27CE8" w:rsidRPr="00AA471F" w:rsidRDefault="00B27CE8" w:rsidP="00B27CE8">
      <w:pPr>
        <w:pStyle w:val="Hesber"/>
        <w:rPr>
          <w:rtl/>
        </w:rPr>
      </w:pPr>
      <w:r w:rsidRPr="00AA471F">
        <w:rPr>
          <w:rFonts w:hint="cs"/>
          <w:rtl/>
        </w:rPr>
        <w:t>מטרת הצעת החוק, הידועה בכינוי "החוק הנורבגי הגדול", היא לחייב את חברי הכנסת המתמני</w:t>
      </w:r>
      <w:r w:rsidR="00DF7DAD">
        <w:rPr>
          <w:rFonts w:hint="cs"/>
          <w:rtl/>
        </w:rPr>
        <w:t>ם לשרים בממשלה להתפטר מהכנסת, ו</w:t>
      </w:r>
      <w:r w:rsidRPr="00AA471F">
        <w:rPr>
          <w:rFonts w:hint="cs"/>
          <w:rtl/>
        </w:rPr>
        <w:t>כך לאפשר לבאים בתור ברשימות לכנסת לכהן בכנסת "במשרה מלאה" ולהקדיש את מלוא מרצם לעבודה הפרלמנטרית. הסדר זה נהוג מזה זמן רב במשטרים דמוקרטיים במדינות מתקדמות כגון נורבגיה, צרפת, הולנד, שבדיה, בלגיה ופורטוגל (</w:t>
      </w:r>
      <w:r>
        <w:rPr>
          <w:rFonts w:hint="cs"/>
          <w:rtl/>
        </w:rPr>
        <w:t>מסמך רקע</w:t>
      </w:r>
      <w:r w:rsidRPr="00AA471F">
        <w:rPr>
          <w:rFonts w:hint="cs"/>
          <w:rtl/>
        </w:rPr>
        <w:t xml:space="preserve"> </w:t>
      </w:r>
      <w:r>
        <w:rPr>
          <w:rFonts w:hint="cs"/>
          <w:rtl/>
        </w:rPr>
        <w:t xml:space="preserve">לדיון ועדת החוקה חוק ומשפט בעניין הצעות חוק לקביעת הסדר "נורבגי", מאת </w:t>
      </w:r>
      <w:r w:rsidRPr="00AA471F">
        <w:rPr>
          <w:rFonts w:hint="cs"/>
          <w:rtl/>
        </w:rPr>
        <w:t>הייעוץ המשפטי לוועד</w:t>
      </w:r>
      <w:r>
        <w:rPr>
          <w:rFonts w:hint="cs"/>
          <w:rtl/>
        </w:rPr>
        <w:t>ה</w:t>
      </w:r>
      <w:r w:rsidRPr="00AA471F">
        <w:rPr>
          <w:rFonts w:hint="cs"/>
          <w:rtl/>
        </w:rPr>
        <w:t xml:space="preserve"> מתאריך 23.7.15</w:t>
      </w:r>
      <w:r>
        <w:rPr>
          <w:rFonts w:hint="cs"/>
          <w:rtl/>
        </w:rPr>
        <w:t xml:space="preserve">). </w:t>
      </w:r>
    </w:p>
    <w:p w14:paraId="07ECFFFD" w14:textId="6A272BEA" w:rsidR="00B27CE8" w:rsidRPr="00AA471F" w:rsidRDefault="00DF7DAD" w:rsidP="00DF7DAD">
      <w:pPr>
        <w:pStyle w:val="Hesber"/>
        <w:rPr>
          <w:rtl/>
        </w:rPr>
      </w:pPr>
      <w:r>
        <w:rPr>
          <w:rtl/>
        </w:rPr>
        <w:t xml:space="preserve"> כיום קבוע בחוק</w:t>
      </w:r>
      <w:r>
        <w:rPr>
          <w:rFonts w:hint="cs"/>
          <w:rtl/>
        </w:rPr>
        <w:t>-</w:t>
      </w:r>
      <w:r w:rsidR="00B27CE8" w:rsidRPr="00AA471F">
        <w:rPr>
          <w:rtl/>
        </w:rPr>
        <w:t xml:space="preserve">יסוד: הכנסת הסדר מצומצם יותר המכונה "החוק הנורבגי הקטן". הסדר זה מאפשר </w:t>
      </w:r>
      <w:r w:rsidR="00B27CE8">
        <w:rPr>
          <w:rFonts w:hint="cs"/>
          <w:rtl/>
        </w:rPr>
        <w:t xml:space="preserve">לשר או </w:t>
      </w:r>
      <w:r>
        <w:rPr>
          <w:rFonts w:hint="cs"/>
          <w:rtl/>
        </w:rPr>
        <w:t>ל</w:t>
      </w:r>
      <w:r w:rsidR="00B27CE8">
        <w:rPr>
          <w:rFonts w:hint="cs"/>
          <w:rtl/>
        </w:rPr>
        <w:t>סגן שר</w:t>
      </w:r>
      <w:r w:rsidR="00B27CE8" w:rsidRPr="00AA471F">
        <w:rPr>
          <w:rtl/>
        </w:rPr>
        <w:t xml:space="preserve"> אחד בלבד מכל </w:t>
      </w:r>
      <w:r w:rsidR="00B27CE8">
        <w:rPr>
          <w:rFonts w:hint="cs"/>
          <w:rtl/>
        </w:rPr>
        <w:t>רשימה</w:t>
      </w:r>
      <w:r w:rsidR="00B27CE8" w:rsidRPr="00AA471F">
        <w:rPr>
          <w:rtl/>
        </w:rPr>
        <w:t xml:space="preserve"> להתפטר מהכנסת לפי שיקול דעתו, אך לחזור לכהן בכנסת </w:t>
      </w:r>
      <w:r>
        <w:rPr>
          <w:rFonts w:hint="cs"/>
          <w:rtl/>
        </w:rPr>
        <w:t xml:space="preserve">אם </w:t>
      </w:r>
      <w:r w:rsidR="00B27CE8" w:rsidRPr="00AA471F">
        <w:rPr>
          <w:rtl/>
        </w:rPr>
        <w:t>הוא מפוטר או מתפטר מתפקידו המיניסטריאלי. מדובר בהסדר זמני שנקבע בהוראת שעה לכנסת ה-20, והצעת החוק המוצעת למעשה מבקשת להרחיב אותו ולקבע אותו בשיטת המשטר הישראלית החל מהכנסת ה-21.</w:t>
      </w:r>
    </w:p>
    <w:p w14:paraId="2A2531B4" w14:textId="76C8B23E" w:rsidR="00B27CE8" w:rsidRPr="00AA471F" w:rsidRDefault="00DF7DAD" w:rsidP="00DF7DAD">
      <w:pPr>
        <w:pStyle w:val="Hesber"/>
        <w:rPr>
          <w:rtl/>
        </w:rPr>
      </w:pPr>
      <w:r>
        <w:rPr>
          <w:rFonts w:hint="cs"/>
          <w:rtl/>
        </w:rPr>
        <w:t>מוצע לקבוע</w:t>
      </w:r>
      <w:r w:rsidR="00B27CE8" w:rsidRPr="00AA471F">
        <w:rPr>
          <w:rtl/>
        </w:rPr>
        <w:t xml:space="preserve"> </w:t>
      </w:r>
      <w:r w:rsidR="00B27CE8" w:rsidRPr="00AA471F">
        <w:rPr>
          <w:rFonts w:hint="eastAsia"/>
          <w:rtl/>
        </w:rPr>
        <w:t>ארבעה</w:t>
      </w:r>
      <w:r w:rsidR="00B27CE8" w:rsidRPr="00AA471F">
        <w:rPr>
          <w:rtl/>
        </w:rPr>
        <w:t xml:space="preserve"> </w:t>
      </w:r>
      <w:r w:rsidR="00B27CE8" w:rsidRPr="00AA471F">
        <w:rPr>
          <w:rFonts w:hint="eastAsia"/>
          <w:rtl/>
        </w:rPr>
        <w:t>מנגנונים</w:t>
      </w:r>
      <w:r w:rsidR="00B27CE8" w:rsidRPr="00AA471F">
        <w:rPr>
          <w:rtl/>
        </w:rPr>
        <w:t xml:space="preserve"> </w:t>
      </w:r>
      <w:r w:rsidR="00B27CE8" w:rsidRPr="00AA471F">
        <w:rPr>
          <w:rFonts w:hint="eastAsia"/>
          <w:rtl/>
        </w:rPr>
        <w:t>עיקריים</w:t>
      </w:r>
      <w:r w:rsidR="00B27CE8" w:rsidRPr="00AA471F">
        <w:rPr>
          <w:rtl/>
        </w:rPr>
        <w:t xml:space="preserve">: </w:t>
      </w:r>
      <w:r w:rsidR="00B27CE8" w:rsidRPr="00AA471F">
        <w:rPr>
          <w:rFonts w:hint="eastAsia"/>
          <w:rtl/>
        </w:rPr>
        <w:t>המנגנון</w:t>
      </w:r>
      <w:r w:rsidR="00B27CE8" w:rsidRPr="00AA471F">
        <w:rPr>
          <w:rtl/>
        </w:rPr>
        <w:t xml:space="preserve"> </w:t>
      </w:r>
      <w:r w:rsidR="00B27CE8" w:rsidRPr="00AA471F">
        <w:rPr>
          <w:rFonts w:hint="eastAsia"/>
          <w:rtl/>
        </w:rPr>
        <w:t>הראשון</w:t>
      </w:r>
      <w:r w:rsidR="00B27CE8" w:rsidRPr="00AA471F">
        <w:rPr>
          <w:rtl/>
        </w:rPr>
        <w:t xml:space="preserve"> </w:t>
      </w:r>
      <w:r w:rsidR="00B27CE8" w:rsidRPr="00AA471F">
        <w:rPr>
          <w:rFonts w:hint="eastAsia"/>
          <w:rtl/>
        </w:rPr>
        <w:t>והמרכזי</w:t>
      </w:r>
      <w:r w:rsidR="00B27CE8" w:rsidRPr="00AA471F">
        <w:rPr>
          <w:rtl/>
        </w:rPr>
        <w:t xml:space="preserve"> </w:t>
      </w:r>
      <w:r w:rsidR="00B27CE8" w:rsidRPr="00AA471F">
        <w:rPr>
          <w:rFonts w:hint="eastAsia"/>
          <w:rtl/>
        </w:rPr>
        <w:t>שנמצא</w:t>
      </w:r>
      <w:r w:rsidR="00B27CE8" w:rsidRPr="00AA471F">
        <w:rPr>
          <w:rtl/>
        </w:rPr>
        <w:t xml:space="preserve"> </w:t>
      </w:r>
      <w:r w:rsidR="00B27CE8" w:rsidRPr="00AA471F">
        <w:rPr>
          <w:rFonts w:hint="eastAsia"/>
          <w:rtl/>
        </w:rPr>
        <w:t>בלב</w:t>
      </w:r>
      <w:r w:rsidR="00B27CE8" w:rsidRPr="00AA471F">
        <w:rPr>
          <w:rtl/>
        </w:rPr>
        <w:t xml:space="preserve"> </w:t>
      </w:r>
      <w:r w:rsidR="00B27CE8" w:rsidRPr="00AA471F">
        <w:rPr>
          <w:rFonts w:hint="eastAsia"/>
          <w:rtl/>
        </w:rPr>
        <w:t>הצעת</w:t>
      </w:r>
      <w:r w:rsidR="00B27CE8" w:rsidRPr="00AA471F">
        <w:rPr>
          <w:rtl/>
        </w:rPr>
        <w:t xml:space="preserve"> </w:t>
      </w:r>
      <w:r w:rsidR="00B27CE8" w:rsidRPr="00AA471F">
        <w:rPr>
          <w:rFonts w:hint="eastAsia"/>
          <w:rtl/>
        </w:rPr>
        <w:t>החוק</w:t>
      </w:r>
      <w:r>
        <w:rPr>
          <w:rFonts w:hint="cs"/>
          <w:rtl/>
        </w:rPr>
        <w:t xml:space="preserve"> (</w:t>
      </w:r>
      <w:r w:rsidR="00B27CE8" w:rsidRPr="00AA471F">
        <w:rPr>
          <w:rFonts w:hint="eastAsia"/>
          <w:rtl/>
        </w:rPr>
        <w:t>סעיף</w:t>
      </w:r>
      <w:r>
        <w:rPr>
          <w:rtl/>
        </w:rPr>
        <w:t xml:space="preserve"> 1</w:t>
      </w:r>
      <w:r>
        <w:rPr>
          <w:rFonts w:hint="cs"/>
          <w:rtl/>
        </w:rPr>
        <w:t xml:space="preserve"> להצעת החוק),</w:t>
      </w:r>
      <w:r w:rsidR="00B27CE8" w:rsidRPr="00AA471F">
        <w:rPr>
          <w:rtl/>
        </w:rPr>
        <w:t xml:space="preserve"> </w:t>
      </w:r>
      <w:r w:rsidR="00B27CE8" w:rsidRPr="00AA471F">
        <w:rPr>
          <w:rFonts w:hint="eastAsia"/>
          <w:rtl/>
        </w:rPr>
        <w:t>מטיל</w:t>
      </w:r>
      <w:r w:rsidR="00B27CE8" w:rsidRPr="00AA471F">
        <w:rPr>
          <w:rtl/>
        </w:rPr>
        <w:t xml:space="preserve"> </w:t>
      </w:r>
      <w:r w:rsidR="00B27CE8" w:rsidRPr="00AA471F">
        <w:rPr>
          <w:rFonts w:hint="eastAsia"/>
          <w:rtl/>
        </w:rPr>
        <w:t>חובה</w:t>
      </w:r>
      <w:r w:rsidR="00B27CE8" w:rsidRPr="00AA471F">
        <w:rPr>
          <w:rtl/>
        </w:rPr>
        <w:t xml:space="preserve"> </w:t>
      </w:r>
      <w:r w:rsidR="00B27CE8" w:rsidRPr="00AA471F">
        <w:rPr>
          <w:rFonts w:hint="eastAsia"/>
          <w:rtl/>
        </w:rPr>
        <w:t>על</w:t>
      </w:r>
      <w:r w:rsidR="00B27CE8" w:rsidRPr="00AA471F">
        <w:rPr>
          <w:rtl/>
        </w:rPr>
        <w:t xml:space="preserve"> </w:t>
      </w:r>
      <w:r w:rsidR="00B27CE8" w:rsidRPr="00AA471F">
        <w:rPr>
          <w:rFonts w:hint="eastAsia"/>
          <w:rtl/>
        </w:rPr>
        <w:t>חברי</w:t>
      </w:r>
      <w:r w:rsidR="00B27CE8" w:rsidRPr="00AA471F">
        <w:rPr>
          <w:rtl/>
        </w:rPr>
        <w:t xml:space="preserve"> </w:t>
      </w:r>
      <w:r w:rsidR="00B27CE8" w:rsidRPr="00AA471F">
        <w:rPr>
          <w:rFonts w:hint="eastAsia"/>
          <w:rtl/>
        </w:rPr>
        <w:t>כנסת</w:t>
      </w:r>
      <w:r w:rsidR="00B27CE8" w:rsidRPr="00AA471F">
        <w:rPr>
          <w:rtl/>
        </w:rPr>
        <w:t xml:space="preserve"> </w:t>
      </w:r>
      <w:r w:rsidR="00B27CE8" w:rsidRPr="00AA471F">
        <w:rPr>
          <w:rFonts w:hint="eastAsia"/>
          <w:rtl/>
        </w:rPr>
        <w:t>המתמנים</w:t>
      </w:r>
      <w:r w:rsidR="00B27CE8" w:rsidRPr="00AA471F">
        <w:rPr>
          <w:rtl/>
        </w:rPr>
        <w:t xml:space="preserve"> </w:t>
      </w:r>
      <w:r w:rsidR="00B27CE8">
        <w:rPr>
          <w:rFonts w:hint="cs"/>
          <w:rtl/>
        </w:rPr>
        <w:t>לשרים</w:t>
      </w:r>
      <w:r w:rsidR="00B27CE8" w:rsidRPr="00AA471F">
        <w:rPr>
          <w:rtl/>
        </w:rPr>
        <w:t xml:space="preserve"> (למעט </w:t>
      </w:r>
      <w:r w:rsidR="00B27CE8" w:rsidRPr="00AA471F">
        <w:rPr>
          <w:rFonts w:hint="eastAsia"/>
          <w:rtl/>
        </w:rPr>
        <w:t>ראש</w:t>
      </w:r>
      <w:r w:rsidR="00B27CE8" w:rsidRPr="00AA471F">
        <w:rPr>
          <w:rtl/>
        </w:rPr>
        <w:t xml:space="preserve"> </w:t>
      </w:r>
      <w:r w:rsidR="00B27CE8" w:rsidRPr="00AA471F">
        <w:rPr>
          <w:rFonts w:hint="eastAsia"/>
          <w:rtl/>
        </w:rPr>
        <w:t>הממשלה</w:t>
      </w:r>
      <w:r w:rsidR="00B27CE8" w:rsidRPr="00AA471F">
        <w:rPr>
          <w:rtl/>
        </w:rPr>
        <w:t xml:space="preserve"> </w:t>
      </w:r>
      <w:r w:rsidR="00B27CE8" w:rsidRPr="00AA471F">
        <w:rPr>
          <w:rFonts w:hint="eastAsia"/>
          <w:rtl/>
        </w:rPr>
        <w:t>וממלא</w:t>
      </w:r>
      <w:r w:rsidR="00B27CE8" w:rsidRPr="00AA471F">
        <w:rPr>
          <w:rtl/>
        </w:rPr>
        <w:t xml:space="preserve"> </w:t>
      </w:r>
      <w:r w:rsidR="00B27CE8" w:rsidRPr="00AA471F">
        <w:rPr>
          <w:rFonts w:hint="eastAsia"/>
          <w:rtl/>
        </w:rPr>
        <w:t>מקומו</w:t>
      </w:r>
      <w:r w:rsidR="00B27CE8" w:rsidRPr="00AA471F">
        <w:rPr>
          <w:rtl/>
        </w:rPr>
        <w:t xml:space="preserve">) </w:t>
      </w:r>
      <w:r w:rsidR="00B27CE8" w:rsidRPr="00AA471F">
        <w:rPr>
          <w:rFonts w:hint="eastAsia"/>
          <w:rtl/>
        </w:rPr>
        <w:t>להתפטר</w:t>
      </w:r>
      <w:r w:rsidR="00B27CE8" w:rsidRPr="00AA471F">
        <w:rPr>
          <w:rtl/>
        </w:rPr>
        <w:t xml:space="preserve"> </w:t>
      </w:r>
      <w:r w:rsidR="00B27CE8" w:rsidRPr="00AA471F">
        <w:rPr>
          <w:rFonts w:hint="eastAsia"/>
          <w:rtl/>
        </w:rPr>
        <w:t>מהכנסת</w:t>
      </w:r>
      <w:r w:rsidR="00B27CE8" w:rsidRPr="00AA471F">
        <w:rPr>
          <w:rtl/>
        </w:rPr>
        <w:t xml:space="preserve"> </w:t>
      </w:r>
      <w:r w:rsidR="00B27CE8" w:rsidRPr="00AA471F">
        <w:rPr>
          <w:rFonts w:hint="eastAsia"/>
          <w:rtl/>
        </w:rPr>
        <w:t>לאחר</w:t>
      </w:r>
      <w:r w:rsidR="00B27CE8" w:rsidRPr="00AA471F">
        <w:rPr>
          <w:rtl/>
        </w:rPr>
        <w:t xml:space="preserve"> </w:t>
      </w:r>
      <w:r>
        <w:rPr>
          <w:rFonts w:hint="eastAsia"/>
          <w:rtl/>
        </w:rPr>
        <w:t>מינו</w:t>
      </w:r>
      <w:r w:rsidR="00B27CE8" w:rsidRPr="00AA471F">
        <w:rPr>
          <w:rFonts w:hint="eastAsia"/>
          <w:rtl/>
        </w:rPr>
        <w:t>ים</w:t>
      </w:r>
      <w:r>
        <w:rPr>
          <w:rFonts w:hint="cs"/>
          <w:rtl/>
        </w:rPr>
        <w:t>,</w:t>
      </w:r>
      <w:r w:rsidR="00B27CE8" w:rsidRPr="00AA471F">
        <w:rPr>
          <w:rtl/>
        </w:rPr>
        <w:t xml:space="preserve"> </w:t>
      </w:r>
      <w:r w:rsidR="00B27CE8" w:rsidRPr="00AA471F">
        <w:rPr>
          <w:rFonts w:hint="eastAsia"/>
          <w:rtl/>
        </w:rPr>
        <w:t>בלי</w:t>
      </w:r>
      <w:r w:rsidR="00B27CE8" w:rsidRPr="00AA471F">
        <w:rPr>
          <w:rtl/>
        </w:rPr>
        <w:t xml:space="preserve"> </w:t>
      </w:r>
      <w:r w:rsidR="00B27CE8" w:rsidRPr="00AA471F">
        <w:rPr>
          <w:rFonts w:hint="eastAsia"/>
          <w:rtl/>
        </w:rPr>
        <w:t>שהדבר</w:t>
      </w:r>
      <w:r w:rsidR="00B27CE8" w:rsidRPr="00AA471F">
        <w:rPr>
          <w:rtl/>
        </w:rPr>
        <w:t xml:space="preserve"> </w:t>
      </w:r>
      <w:r w:rsidR="00B27CE8" w:rsidRPr="00AA471F">
        <w:rPr>
          <w:rFonts w:hint="eastAsia"/>
          <w:rtl/>
        </w:rPr>
        <w:t>יהיה</w:t>
      </w:r>
      <w:r w:rsidR="00B27CE8" w:rsidRPr="00AA471F">
        <w:rPr>
          <w:rtl/>
        </w:rPr>
        <w:t xml:space="preserve"> </w:t>
      </w:r>
      <w:r w:rsidR="00B27CE8" w:rsidRPr="00AA471F">
        <w:rPr>
          <w:rFonts w:hint="eastAsia"/>
          <w:rtl/>
        </w:rPr>
        <w:t>נתון</w:t>
      </w:r>
      <w:r w:rsidR="00B27CE8" w:rsidRPr="00AA471F">
        <w:rPr>
          <w:rtl/>
        </w:rPr>
        <w:t xml:space="preserve"> </w:t>
      </w:r>
      <w:r w:rsidR="00B27CE8" w:rsidRPr="00AA471F">
        <w:rPr>
          <w:rFonts w:hint="eastAsia"/>
          <w:rtl/>
        </w:rPr>
        <w:t>לשיקול</w:t>
      </w:r>
      <w:r w:rsidR="00B27CE8" w:rsidRPr="00AA471F">
        <w:rPr>
          <w:rtl/>
        </w:rPr>
        <w:t xml:space="preserve"> </w:t>
      </w:r>
      <w:r w:rsidR="00B27CE8" w:rsidRPr="00AA471F">
        <w:rPr>
          <w:rFonts w:hint="eastAsia"/>
          <w:rtl/>
        </w:rPr>
        <w:t>דעתם</w:t>
      </w:r>
      <w:r w:rsidR="00B27CE8" w:rsidRPr="00AA471F">
        <w:rPr>
          <w:rtl/>
        </w:rPr>
        <w:t xml:space="preserve">. </w:t>
      </w:r>
      <w:r w:rsidR="00B27CE8" w:rsidRPr="00AA471F">
        <w:rPr>
          <w:rFonts w:hint="eastAsia"/>
          <w:rtl/>
        </w:rPr>
        <w:t>מנגנון</w:t>
      </w:r>
      <w:r w:rsidR="00B27CE8" w:rsidRPr="00AA471F">
        <w:rPr>
          <w:rtl/>
        </w:rPr>
        <w:t xml:space="preserve"> זה משרת מספר תכליות חשובות: ראשית, הוא מפחית את ניגודי העניינים הקיימים בקרב חברי </w:t>
      </w:r>
      <w:r w:rsidR="00B27CE8">
        <w:rPr>
          <w:rFonts w:hint="cs"/>
          <w:rtl/>
        </w:rPr>
        <w:t>ה</w:t>
      </w:r>
      <w:r w:rsidR="00B27CE8" w:rsidRPr="00AA471F">
        <w:rPr>
          <w:rtl/>
        </w:rPr>
        <w:t>ממשלה בין כובעם כשרים ברשות המבצעת לבין כובעם כמחוקקים ברשות המחוקקת. העובדה שכיום בערך רבע מחברי הכנסת הם חברי ממשלה</w:t>
      </w:r>
      <w:r w:rsidR="00B27CE8">
        <w:rPr>
          <w:rFonts w:hint="cs"/>
          <w:rtl/>
        </w:rPr>
        <w:t>,</w:t>
      </w:r>
      <w:r>
        <w:rPr>
          <w:rtl/>
        </w:rPr>
        <w:t xml:space="preserve"> פוגעת בע</w:t>
      </w:r>
      <w:r w:rsidR="00B27CE8" w:rsidRPr="00AA471F">
        <w:rPr>
          <w:rtl/>
        </w:rPr>
        <w:t xml:space="preserve">קרון הפרדת הרשויות ולמעשה מכפיפה את הרשות המחוקקת לרשות המבצעת, במקום שהרשות המבצעת תהיה כפופה לרשות המחוקקת. </w:t>
      </w:r>
      <w:r w:rsidR="00B27CE8" w:rsidRPr="00AA471F">
        <w:rPr>
          <w:rFonts w:hint="eastAsia"/>
          <w:rtl/>
        </w:rPr>
        <w:t>בעשורים</w:t>
      </w:r>
      <w:r w:rsidR="00B27CE8" w:rsidRPr="00AA471F">
        <w:rPr>
          <w:rtl/>
        </w:rPr>
        <w:t xml:space="preserve"> </w:t>
      </w:r>
      <w:r w:rsidR="00B27CE8" w:rsidRPr="00AA471F">
        <w:rPr>
          <w:rFonts w:hint="eastAsia"/>
          <w:rtl/>
        </w:rPr>
        <w:t>האחרונים</w:t>
      </w:r>
      <w:r w:rsidR="00B27CE8" w:rsidRPr="00AA471F">
        <w:rPr>
          <w:rtl/>
        </w:rPr>
        <w:t xml:space="preserve"> חלה הידרדרות מתמשכת בכוחה ומעמדה של הכנסת כריבון, בין היתר עקב הטלת משמעת קואליציונית גורפת על חברי הכנסת מצד הממשלות וכרסום באפקטיביות של הכלים הפרלמנטריים. הצעת החוק תתרום להיפוך המגמה ולחיזוק עצמאותם ומעמדם של חברי הכנסת. </w:t>
      </w:r>
    </w:p>
    <w:p w14:paraId="6FF080FB" w14:textId="7E68BA6E" w:rsidR="00B27CE8" w:rsidRPr="00AA471F" w:rsidRDefault="00B27CE8" w:rsidP="00DF7DAD">
      <w:pPr>
        <w:pStyle w:val="Hesber"/>
        <w:rPr>
          <w:rtl/>
        </w:rPr>
      </w:pPr>
      <w:r w:rsidRPr="00811C31">
        <w:rPr>
          <w:rFonts w:hint="cs"/>
          <w:rtl/>
        </w:rPr>
        <w:t>שנית, המנגנון המוצע יסייע להפחית את עומסי העבודה הבלתי סבירים המונחים על כתפיהם של חברי הכנסת, בפרט ביחס להשתתפות בדיוני הוועדות</w:t>
      </w:r>
      <w:r w:rsidR="00DF7DAD">
        <w:rPr>
          <w:rFonts w:hint="cs"/>
          <w:rtl/>
        </w:rPr>
        <w:t xml:space="preserve"> של הכנסת (להלן </w:t>
      </w:r>
      <w:r w:rsidR="00DF7DAD">
        <w:rPr>
          <w:rFonts w:hint="eastAsia"/>
          <w:rtl/>
        </w:rPr>
        <w:t>–</w:t>
      </w:r>
      <w:r w:rsidR="00DF7DAD">
        <w:rPr>
          <w:rFonts w:hint="cs"/>
          <w:rtl/>
        </w:rPr>
        <w:t xml:space="preserve"> הוועדות)</w:t>
      </w:r>
      <w:r w:rsidRPr="00811C31">
        <w:rPr>
          <w:rFonts w:hint="cs"/>
          <w:rtl/>
        </w:rPr>
        <w:t>. מאחר שחברי הממשלה המכהנים כחברי כנסת אינם חברים בוועדות השונות, נוצרה מציאות שבה חלק מחברי הכנסת (בעיקר מהקואליציה) חברי</w:t>
      </w:r>
      <w:r w:rsidRPr="00AA471F">
        <w:rPr>
          <w:rFonts w:hint="eastAsia"/>
          <w:rtl/>
        </w:rPr>
        <w:t>ם</w:t>
      </w:r>
      <w:r w:rsidRPr="00AA471F">
        <w:rPr>
          <w:rtl/>
        </w:rPr>
        <w:t xml:space="preserve"> </w:t>
      </w:r>
      <w:r w:rsidRPr="00AA471F">
        <w:rPr>
          <w:rFonts w:hint="eastAsia"/>
          <w:rtl/>
        </w:rPr>
        <w:t>בארבע</w:t>
      </w:r>
      <w:r w:rsidRPr="00AA471F">
        <w:rPr>
          <w:rtl/>
        </w:rPr>
        <w:t xml:space="preserve"> </w:t>
      </w:r>
      <w:r w:rsidRPr="00AA471F">
        <w:rPr>
          <w:rFonts w:hint="eastAsia"/>
          <w:rtl/>
        </w:rPr>
        <w:t>או</w:t>
      </w:r>
      <w:r w:rsidRPr="00AA471F">
        <w:rPr>
          <w:rtl/>
        </w:rPr>
        <w:t xml:space="preserve"> </w:t>
      </w:r>
      <w:r w:rsidRPr="00AA471F">
        <w:rPr>
          <w:rFonts w:hint="eastAsia"/>
          <w:rtl/>
        </w:rPr>
        <w:t>חמש</w:t>
      </w:r>
      <w:r w:rsidRPr="00AA471F">
        <w:rPr>
          <w:rtl/>
        </w:rPr>
        <w:t xml:space="preserve"> </w:t>
      </w:r>
      <w:r>
        <w:rPr>
          <w:rFonts w:hint="eastAsia"/>
          <w:rtl/>
        </w:rPr>
        <w:t>ו</w:t>
      </w:r>
      <w:r w:rsidRPr="00AA471F">
        <w:rPr>
          <w:rFonts w:hint="eastAsia"/>
          <w:rtl/>
        </w:rPr>
        <w:t>עדות</w:t>
      </w:r>
      <w:r w:rsidRPr="00AA471F">
        <w:rPr>
          <w:rtl/>
        </w:rPr>
        <w:t xml:space="preserve"> </w:t>
      </w:r>
      <w:r w:rsidRPr="00AA471F">
        <w:rPr>
          <w:rFonts w:hint="eastAsia"/>
          <w:rtl/>
        </w:rPr>
        <w:t>במקביל</w:t>
      </w:r>
      <w:r w:rsidRPr="00AA471F">
        <w:rPr>
          <w:rtl/>
        </w:rPr>
        <w:t xml:space="preserve">. </w:t>
      </w:r>
      <w:r w:rsidRPr="00AA471F">
        <w:rPr>
          <w:rFonts w:hint="eastAsia"/>
          <w:rtl/>
        </w:rPr>
        <w:t>מיותר</w:t>
      </w:r>
      <w:r w:rsidRPr="00AA471F">
        <w:rPr>
          <w:rtl/>
        </w:rPr>
        <w:t xml:space="preserve"> </w:t>
      </w:r>
      <w:r w:rsidRPr="00AA471F">
        <w:rPr>
          <w:rFonts w:hint="eastAsia"/>
          <w:rtl/>
        </w:rPr>
        <w:t>לציין</w:t>
      </w:r>
      <w:r w:rsidRPr="00AA471F">
        <w:rPr>
          <w:rtl/>
        </w:rPr>
        <w:t xml:space="preserve"> </w:t>
      </w:r>
      <w:r w:rsidRPr="00AA471F">
        <w:rPr>
          <w:rFonts w:hint="eastAsia"/>
          <w:rtl/>
        </w:rPr>
        <w:t>שבמצב</w:t>
      </w:r>
      <w:r w:rsidRPr="00AA471F">
        <w:rPr>
          <w:rtl/>
        </w:rPr>
        <w:t xml:space="preserve"> </w:t>
      </w:r>
      <w:r w:rsidRPr="00AA471F">
        <w:rPr>
          <w:rFonts w:hint="eastAsia"/>
          <w:rtl/>
        </w:rPr>
        <w:t>כזה</w:t>
      </w:r>
      <w:r w:rsidRPr="00AA471F">
        <w:rPr>
          <w:rtl/>
        </w:rPr>
        <w:t xml:space="preserve"> </w:t>
      </w:r>
      <w:r w:rsidRPr="00AA471F">
        <w:rPr>
          <w:rFonts w:hint="eastAsia"/>
          <w:rtl/>
        </w:rPr>
        <w:t>חברי</w:t>
      </w:r>
      <w:r w:rsidRPr="00AA471F">
        <w:rPr>
          <w:rtl/>
        </w:rPr>
        <w:t xml:space="preserve"> </w:t>
      </w:r>
      <w:r w:rsidRPr="00AA471F">
        <w:rPr>
          <w:rFonts w:hint="eastAsia"/>
          <w:rtl/>
        </w:rPr>
        <w:t>הכנסת</w:t>
      </w:r>
      <w:r w:rsidRPr="00AA471F">
        <w:rPr>
          <w:rtl/>
        </w:rPr>
        <w:t xml:space="preserve"> </w:t>
      </w:r>
      <w:r w:rsidRPr="00AA471F">
        <w:rPr>
          <w:rFonts w:hint="eastAsia"/>
          <w:rtl/>
        </w:rPr>
        <w:t>אינם</w:t>
      </w:r>
      <w:r w:rsidRPr="00AA471F">
        <w:rPr>
          <w:rtl/>
        </w:rPr>
        <w:t xml:space="preserve"> </w:t>
      </w:r>
      <w:r w:rsidRPr="00AA471F">
        <w:rPr>
          <w:rFonts w:hint="eastAsia"/>
          <w:rtl/>
        </w:rPr>
        <w:t>מסוגלים</w:t>
      </w:r>
      <w:r w:rsidRPr="00AA471F">
        <w:rPr>
          <w:rtl/>
        </w:rPr>
        <w:t xml:space="preserve"> </w:t>
      </w:r>
      <w:r w:rsidRPr="00AA471F">
        <w:rPr>
          <w:rFonts w:hint="eastAsia"/>
          <w:rtl/>
        </w:rPr>
        <w:t>להקדיש</w:t>
      </w:r>
      <w:r w:rsidRPr="00AA471F">
        <w:rPr>
          <w:rtl/>
        </w:rPr>
        <w:t xml:space="preserve"> </w:t>
      </w:r>
      <w:r w:rsidRPr="00AA471F">
        <w:rPr>
          <w:rFonts w:hint="eastAsia"/>
          <w:rtl/>
        </w:rPr>
        <w:t>זמן</w:t>
      </w:r>
      <w:r w:rsidRPr="00AA471F">
        <w:rPr>
          <w:rtl/>
        </w:rPr>
        <w:t xml:space="preserve"> </w:t>
      </w:r>
      <w:r w:rsidRPr="00AA471F">
        <w:rPr>
          <w:rFonts w:hint="eastAsia"/>
          <w:rtl/>
        </w:rPr>
        <w:t>לדיוני</w:t>
      </w:r>
      <w:r w:rsidRPr="00AA471F">
        <w:rPr>
          <w:rtl/>
        </w:rPr>
        <w:t xml:space="preserve"> </w:t>
      </w:r>
      <w:r w:rsidRPr="00AA471F">
        <w:rPr>
          <w:rFonts w:hint="eastAsia"/>
          <w:rtl/>
        </w:rPr>
        <w:t>הוועדות</w:t>
      </w:r>
      <w:r w:rsidRPr="00AA471F">
        <w:rPr>
          <w:rtl/>
        </w:rPr>
        <w:t xml:space="preserve"> </w:t>
      </w:r>
      <w:r w:rsidRPr="00AA471F">
        <w:rPr>
          <w:rFonts w:hint="eastAsia"/>
          <w:rtl/>
        </w:rPr>
        <w:t>וללמוד</w:t>
      </w:r>
      <w:r w:rsidRPr="00AA471F">
        <w:rPr>
          <w:rtl/>
        </w:rPr>
        <w:t xml:space="preserve"> </w:t>
      </w:r>
      <w:r w:rsidRPr="00AA471F">
        <w:rPr>
          <w:rFonts w:hint="eastAsia"/>
          <w:rtl/>
        </w:rPr>
        <w:t>לעומק</w:t>
      </w:r>
      <w:r w:rsidRPr="00AA471F">
        <w:rPr>
          <w:rtl/>
        </w:rPr>
        <w:t xml:space="preserve"> </w:t>
      </w:r>
      <w:r w:rsidRPr="00AA471F">
        <w:rPr>
          <w:rFonts w:hint="eastAsia"/>
          <w:rtl/>
        </w:rPr>
        <w:t>את</w:t>
      </w:r>
      <w:r w:rsidRPr="00AA471F">
        <w:rPr>
          <w:rtl/>
        </w:rPr>
        <w:t xml:space="preserve"> </w:t>
      </w:r>
      <w:r w:rsidRPr="00AA471F">
        <w:rPr>
          <w:rFonts w:hint="eastAsia"/>
          <w:rtl/>
        </w:rPr>
        <w:t>הנושאים</w:t>
      </w:r>
      <w:r w:rsidRPr="00AA471F">
        <w:rPr>
          <w:rtl/>
        </w:rPr>
        <w:t xml:space="preserve"> </w:t>
      </w:r>
      <w:r w:rsidRPr="00AA471F">
        <w:rPr>
          <w:rFonts w:hint="eastAsia"/>
          <w:rtl/>
        </w:rPr>
        <w:t>שעל</w:t>
      </w:r>
      <w:r w:rsidRPr="00AA471F">
        <w:rPr>
          <w:rtl/>
        </w:rPr>
        <w:t xml:space="preserve"> </w:t>
      </w:r>
      <w:r w:rsidRPr="00AA471F">
        <w:rPr>
          <w:rFonts w:hint="eastAsia"/>
          <w:rtl/>
        </w:rPr>
        <w:t>סדר</w:t>
      </w:r>
      <w:r w:rsidRPr="00AA471F">
        <w:rPr>
          <w:rtl/>
        </w:rPr>
        <w:t xml:space="preserve"> </w:t>
      </w:r>
      <w:r w:rsidRPr="00AA471F">
        <w:rPr>
          <w:rFonts w:hint="eastAsia"/>
          <w:rtl/>
        </w:rPr>
        <w:t>היום</w:t>
      </w:r>
      <w:r w:rsidRPr="00AA471F">
        <w:rPr>
          <w:rtl/>
        </w:rPr>
        <w:t xml:space="preserve">, </w:t>
      </w:r>
      <w:r w:rsidRPr="00AA471F">
        <w:rPr>
          <w:rFonts w:hint="eastAsia"/>
          <w:rtl/>
        </w:rPr>
        <w:t>ועל</w:t>
      </w:r>
      <w:r w:rsidRPr="00AA471F">
        <w:rPr>
          <w:rtl/>
        </w:rPr>
        <w:t xml:space="preserve"> </w:t>
      </w:r>
      <w:r w:rsidRPr="00AA471F">
        <w:rPr>
          <w:rFonts w:hint="eastAsia"/>
          <w:rtl/>
        </w:rPr>
        <w:t>כן</w:t>
      </w:r>
      <w:r w:rsidRPr="00AA471F">
        <w:rPr>
          <w:rtl/>
        </w:rPr>
        <w:t xml:space="preserve"> </w:t>
      </w:r>
      <w:r w:rsidRPr="00AA471F">
        <w:rPr>
          <w:rFonts w:hint="eastAsia"/>
          <w:rtl/>
        </w:rPr>
        <w:t>נאלצים</w:t>
      </w:r>
      <w:r w:rsidRPr="00AA471F">
        <w:rPr>
          <w:rtl/>
        </w:rPr>
        <w:t xml:space="preserve"> </w:t>
      </w:r>
      <w:r w:rsidRPr="00AA471F">
        <w:rPr>
          <w:rFonts w:hint="eastAsia"/>
          <w:rtl/>
        </w:rPr>
        <w:lastRenderedPageBreak/>
        <w:t>להתרוצץ</w:t>
      </w:r>
      <w:r w:rsidRPr="00AA471F">
        <w:rPr>
          <w:rtl/>
        </w:rPr>
        <w:t xml:space="preserve"> </w:t>
      </w:r>
      <w:r w:rsidRPr="00AA471F">
        <w:rPr>
          <w:rFonts w:hint="eastAsia"/>
          <w:rtl/>
        </w:rPr>
        <w:t>בין</w:t>
      </w:r>
      <w:r w:rsidRPr="00AA471F">
        <w:rPr>
          <w:rtl/>
        </w:rPr>
        <w:t xml:space="preserve"> </w:t>
      </w:r>
      <w:r w:rsidRPr="00AA471F">
        <w:rPr>
          <w:rFonts w:hint="eastAsia"/>
          <w:rtl/>
        </w:rPr>
        <w:t>הוועדות</w:t>
      </w:r>
      <w:r w:rsidRPr="00AA471F">
        <w:rPr>
          <w:rtl/>
        </w:rPr>
        <w:t xml:space="preserve"> ולתפקד כ"מכונות הצבעה אוטומטיות". סקירה השוואתית של המכון הישראלי לדמוקרטיה מצביעה על כך שחברי פרלמנט בעולם חברים בדרך כלל בוועדה אחת או שתיים, ומכאן שהמציאות הנהוגה בכנסת ישראל היא בהחלט חריגה ובולטת לרעה (</w:t>
      </w:r>
      <w:r w:rsidRPr="00DF7DAD">
        <w:rPr>
          <w:b/>
          <w:bCs/>
          <w:rtl/>
        </w:rPr>
        <w:t>"תיקון שיטת הממשל בישראל"</w:t>
      </w:r>
      <w:r w:rsidRPr="00AA471F">
        <w:rPr>
          <w:rtl/>
        </w:rPr>
        <w:t xml:space="preserve">, פרק 22, הוצאת המכון לדמוקרטיה, 2013). הצעת החוק </w:t>
      </w:r>
      <w:r w:rsidR="00DF7DAD">
        <w:rPr>
          <w:rFonts w:hint="cs"/>
          <w:rtl/>
        </w:rPr>
        <w:t>נועדה להביא</w:t>
      </w:r>
      <w:r w:rsidRPr="00AA471F">
        <w:rPr>
          <w:rtl/>
        </w:rPr>
        <w:t xml:space="preserve"> לכך שבמקום שרים שממילא אינם פנויים לעבודה פרלמנטרית, יתווספו לכנסת 19 חברי כנסת "במשרה מלאה" שייקחו</w:t>
      </w:r>
      <w:r w:rsidR="00DF7DAD">
        <w:rPr>
          <w:rtl/>
        </w:rPr>
        <w:t xml:space="preserve"> חלק בעבודה הפרלמנטרית השוטפת. </w:t>
      </w:r>
      <w:r w:rsidRPr="00AA471F">
        <w:rPr>
          <w:rtl/>
        </w:rPr>
        <w:t xml:space="preserve">כך יופחת העומס הכללי ויושג איזון בריא יותר בחלוקת נטל הוועדות בין חברי הכנסת. </w:t>
      </w:r>
    </w:p>
    <w:p w14:paraId="78911F08" w14:textId="77777777" w:rsidR="00B27CE8" w:rsidRPr="00AA471F" w:rsidRDefault="00B27CE8" w:rsidP="00B27CE8">
      <w:pPr>
        <w:pStyle w:val="Hesber"/>
        <w:rPr>
          <w:rtl/>
        </w:rPr>
      </w:pPr>
      <w:r w:rsidRPr="00AA471F">
        <w:rPr>
          <w:rFonts w:hint="eastAsia"/>
          <w:rtl/>
        </w:rPr>
        <w:t>שלישית</w:t>
      </w:r>
      <w:r w:rsidRPr="00AA471F">
        <w:rPr>
          <w:rtl/>
        </w:rPr>
        <w:t xml:space="preserve">, </w:t>
      </w:r>
      <w:r w:rsidRPr="00AA471F">
        <w:rPr>
          <w:rFonts w:hint="eastAsia"/>
          <w:rtl/>
        </w:rPr>
        <w:t>המנגנון</w:t>
      </w:r>
      <w:r w:rsidRPr="00AA471F">
        <w:rPr>
          <w:rtl/>
        </w:rPr>
        <w:t xml:space="preserve"> </w:t>
      </w:r>
      <w:r w:rsidRPr="00AA471F">
        <w:rPr>
          <w:rFonts w:hint="eastAsia"/>
          <w:rtl/>
        </w:rPr>
        <w:t>המוצע</w:t>
      </w:r>
      <w:r w:rsidRPr="00AA471F">
        <w:rPr>
          <w:rtl/>
        </w:rPr>
        <w:t xml:space="preserve"> </w:t>
      </w:r>
      <w:r w:rsidRPr="00AA471F">
        <w:rPr>
          <w:rFonts w:hint="eastAsia"/>
          <w:rtl/>
        </w:rPr>
        <w:t>יאפשר</w:t>
      </w:r>
      <w:r w:rsidRPr="00AA471F">
        <w:rPr>
          <w:rtl/>
        </w:rPr>
        <w:t xml:space="preserve"> </w:t>
      </w:r>
      <w:r>
        <w:rPr>
          <w:rFonts w:hint="cs"/>
          <w:rtl/>
        </w:rPr>
        <w:t>לשרים</w:t>
      </w:r>
      <w:r w:rsidRPr="00AA471F">
        <w:rPr>
          <w:rtl/>
        </w:rPr>
        <w:t xml:space="preserve"> </w:t>
      </w:r>
      <w:r w:rsidRPr="00AA471F">
        <w:rPr>
          <w:rFonts w:hint="eastAsia"/>
          <w:rtl/>
        </w:rPr>
        <w:t>למקד</w:t>
      </w:r>
      <w:r w:rsidRPr="00AA471F">
        <w:rPr>
          <w:rtl/>
        </w:rPr>
        <w:t xml:space="preserve"> </w:t>
      </w:r>
      <w:r w:rsidRPr="00AA471F">
        <w:rPr>
          <w:rFonts w:hint="eastAsia"/>
          <w:rtl/>
        </w:rPr>
        <w:t>את</w:t>
      </w:r>
      <w:r w:rsidRPr="00AA471F">
        <w:rPr>
          <w:rtl/>
        </w:rPr>
        <w:t xml:space="preserve"> </w:t>
      </w:r>
      <w:r w:rsidRPr="00AA471F">
        <w:rPr>
          <w:rFonts w:hint="eastAsia"/>
          <w:rtl/>
        </w:rPr>
        <w:t>זמנם</w:t>
      </w:r>
      <w:r w:rsidRPr="00AA471F">
        <w:rPr>
          <w:rtl/>
        </w:rPr>
        <w:t xml:space="preserve"> </w:t>
      </w:r>
      <w:r w:rsidRPr="00AA471F">
        <w:rPr>
          <w:rFonts w:hint="eastAsia"/>
          <w:rtl/>
        </w:rPr>
        <w:t>ומרצם</w:t>
      </w:r>
      <w:r w:rsidRPr="00AA471F">
        <w:rPr>
          <w:rtl/>
        </w:rPr>
        <w:t xml:space="preserve"> </w:t>
      </w:r>
      <w:r w:rsidRPr="00AA471F">
        <w:rPr>
          <w:rFonts w:hint="eastAsia"/>
          <w:rtl/>
        </w:rPr>
        <w:t>בעבודה</w:t>
      </w:r>
      <w:r w:rsidRPr="00AA471F">
        <w:rPr>
          <w:rtl/>
        </w:rPr>
        <w:t xml:space="preserve"> </w:t>
      </w:r>
      <w:r w:rsidRPr="00AA471F">
        <w:rPr>
          <w:rFonts w:hint="eastAsia"/>
          <w:rtl/>
        </w:rPr>
        <w:t>המקצועית</w:t>
      </w:r>
      <w:r w:rsidRPr="00AA471F">
        <w:rPr>
          <w:rtl/>
        </w:rPr>
        <w:t xml:space="preserve"> </w:t>
      </w:r>
      <w:r w:rsidRPr="00AA471F">
        <w:rPr>
          <w:rFonts w:hint="eastAsia"/>
          <w:rtl/>
        </w:rPr>
        <w:t>של</w:t>
      </w:r>
      <w:r w:rsidRPr="00AA471F">
        <w:rPr>
          <w:rtl/>
        </w:rPr>
        <w:t xml:space="preserve"> </w:t>
      </w:r>
      <w:r w:rsidRPr="00AA471F">
        <w:rPr>
          <w:rFonts w:hint="eastAsia"/>
          <w:rtl/>
        </w:rPr>
        <w:t>משרדי</w:t>
      </w:r>
      <w:r w:rsidRPr="00AA471F">
        <w:rPr>
          <w:rtl/>
        </w:rPr>
        <w:t xml:space="preserve"> </w:t>
      </w:r>
      <w:r w:rsidRPr="00AA471F">
        <w:rPr>
          <w:rFonts w:hint="eastAsia"/>
          <w:rtl/>
        </w:rPr>
        <w:t>הממשלה</w:t>
      </w:r>
      <w:r w:rsidRPr="00AA471F">
        <w:rPr>
          <w:rtl/>
        </w:rPr>
        <w:t xml:space="preserve">, </w:t>
      </w:r>
      <w:r w:rsidRPr="00AA471F">
        <w:rPr>
          <w:rFonts w:hint="eastAsia"/>
          <w:rtl/>
        </w:rPr>
        <w:t>שבצדק</w:t>
      </w:r>
      <w:r w:rsidRPr="00AA471F">
        <w:rPr>
          <w:rtl/>
        </w:rPr>
        <w:t xml:space="preserve"> </w:t>
      </w:r>
      <w:r w:rsidRPr="00AA471F">
        <w:rPr>
          <w:rFonts w:hint="eastAsia"/>
          <w:rtl/>
        </w:rPr>
        <w:t>נתפסת</w:t>
      </w:r>
      <w:r w:rsidRPr="00AA471F">
        <w:rPr>
          <w:rtl/>
        </w:rPr>
        <w:t xml:space="preserve"> </w:t>
      </w:r>
      <w:r w:rsidRPr="00AA471F">
        <w:rPr>
          <w:rFonts w:hint="eastAsia"/>
          <w:rtl/>
        </w:rPr>
        <w:t>כשליחותם</w:t>
      </w:r>
      <w:r w:rsidRPr="00AA471F">
        <w:rPr>
          <w:rtl/>
        </w:rPr>
        <w:t xml:space="preserve"> </w:t>
      </w:r>
      <w:r w:rsidRPr="00AA471F">
        <w:rPr>
          <w:rFonts w:hint="eastAsia"/>
          <w:rtl/>
        </w:rPr>
        <w:t>העיקרית</w:t>
      </w:r>
      <w:r w:rsidRPr="00AA471F">
        <w:rPr>
          <w:rtl/>
        </w:rPr>
        <w:t xml:space="preserve">, </w:t>
      </w:r>
      <w:r w:rsidRPr="00AA471F">
        <w:rPr>
          <w:rFonts w:hint="eastAsia"/>
          <w:rtl/>
        </w:rPr>
        <w:t>וזאת</w:t>
      </w:r>
      <w:r w:rsidRPr="00AA471F">
        <w:rPr>
          <w:rtl/>
        </w:rPr>
        <w:t xml:space="preserve"> </w:t>
      </w:r>
      <w:r w:rsidRPr="00AA471F">
        <w:rPr>
          <w:rFonts w:hint="eastAsia"/>
          <w:rtl/>
        </w:rPr>
        <w:t>מבלי</w:t>
      </w:r>
      <w:r w:rsidRPr="00AA471F">
        <w:rPr>
          <w:rtl/>
        </w:rPr>
        <w:t xml:space="preserve"> </w:t>
      </w:r>
      <w:r w:rsidRPr="00AA471F">
        <w:rPr>
          <w:rFonts w:hint="eastAsia"/>
          <w:rtl/>
        </w:rPr>
        <w:t>לתפוס</w:t>
      </w:r>
      <w:r w:rsidRPr="00AA471F">
        <w:rPr>
          <w:rtl/>
        </w:rPr>
        <w:t xml:space="preserve"> "כיסא </w:t>
      </w:r>
      <w:r w:rsidRPr="00AA471F">
        <w:rPr>
          <w:rFonts w:hint="eastAsia"/>
          <w:rtl/>
        </w:rPr>
        <w:t>ריק</w:t>
      </w:r>
      <w:r w:rsidRPr="00AA471F">
        <w:rPr>
          <w:rtl/>
        </w:rPr>
        <w:t xml:space="preserve">" </w:t>
      </w:r>
      <w:r w:rsidRPr="00AA471F">
        <w:rPr>
          <w:rFonts w:hint="eastAsia"/>
          <w:rtl/>
        </w:rPr>
        <w:t>של</w:t>
      </w:r>
      <w:r w:rsidRPr="00AA471F">
        <w:rPr>
          <w:rtl/>
        </w:rPr>
        <w:t xml:space="preserve"> </w:t>
      </w:r>
      <w:r w:rsidRPr="00AA471F">
        <w:rPr>
          <w:rFonts w:hint="eastAsia"/>
          <w:rtl/>
        </w:rPr>
        <w:t>חברי</w:t>
      </w:r>
      <w:r w:rsidRPr="00AA471F">
        <w:rPr>
          <w:rtl/>
        </w:rPr>
        <w:t xml:space="preserve"> </w:t>
      </w:r>
      <w:r w:rsidRPr="00AA471F">
        <w:rPr>
          <w:rFonts w:hint="eastAsia"/>
          <w:rtl/>
        </w:rPr>
        <w:t>כנסת</w:t>
      </w:r>
      <w:r w:rsidRPr="00AA471F">
        <w:rPr>
          <w:rtl/>
        </w:rPr>
        <w:t xml:space="preserve">. </w:t>
      </w:r>
      <w:r w:rsidRPr="00AA471F">
        <w:rPr>
          <w:rFonts w:hint="eastAsia"/>
          <w:rtl/>
        </w:rPr>
        <w:t>בהקשר</w:t>
      </w:r>
      <w:r w:rsidRPr="00AA471F">
        <w:rPr>
          <w:rtl/>
        </w:rPr>
        <w:t xml:space="preserve"> </w:t>
      </w:r>
      <w:r w:rsidRPr="00AA471F">
        <w:rPr>
          <w:rFonts w:hint="eastAsia"/>
          <w:rtl/>
        </w:rPr>
        <w:t>זה</w:t>
      </w:r>
      <w:r w:rsidRPr="00AA471F">
        <w:rPr>
          <w:rtl/>
        </w:rPr>
        <w:t xml:space="preserve"> </w:t>
      </w:r>
      <w:r w:rsidRPr="00AA471F">
        <w:rPr>
          <w:rFonts w:hint="eastAsia"/>
          <w:rtl/>
        </w:rPr>
        <w:t>יוער</w:t>
      </w:r>
      <w:r w:rsidRPr="00AA471F">
        <w:rPr>
          <w:rtl/>
        </w:rPr>
        <w:t xml:space="preserve"> </w:t>
      </w:r>
      <w:r w:rsidRPr="00AA471F">
        <w:rPr>
          <w:rFonts w:hint="eastAsia"/>
          <w:rtl/>
        </w:rPr>
        <w:t>שישנה</w:t>
      </w:r>
      <w:r w:rsidRPr="00AA471F">
        <w:rPr>
          <w:rtl/>
        </w:rPr>
        <w:t xml:space="preserve"> </w:t>
      </w:r>
      <w:r w:rsidRPr="00AA471F">
        <w:rPr>
          <w:rFonts w:hint="eastAsia"/>
          <w:rtl/>
        </w:rPr>
        <w:t>חשיבות</w:t>
      </w:r>
      <w:r w:rsidRPr="00AA471F">
        <w:rPr>
          <w:rtl/>
        </w:rPr>
        <w:t xml:space="preserve"> </w:t>
      </w:r>
      <w:r w:rsidRPr="00AA471F">
        <w:rPr>
          <w:rFonts w:hint="eastAsia"/>
          <w:rtl/>
        </w:rPr>
        <w:t>לפרקטיקה</w:t>
      </w:r>
      <w:r w:rsidRPr="00AA471F">
        <w:rPr>
          <w:rtl/>
        </w:rPr>
        <w:t xml:space="preserve"> </w:t>
      </w:r>
      <w:r w:rsidRPr="00AA471F">
        <w:rPr>
          <w:rFonts w:hint="eastAsia"/>
          <w:rtl/>
        </w:rPr>
        <w:t>של</w:t>
      </w:r>
      <w:r w:rsidRPr="00AA471F">
        <w:rPr>
          <w:rtl/>
        </w:rPr>
        <w:t xml:space="preserve"> </w:t>
      </w:r>
      <w:r w:rsidRPr="00AA471F">
        <w:rPr>
          <w:rFonts w:hint="eastAsia"/>
          <w:rtl/>
        </w:rPr>
        <w:t>השתתפות</w:t>
      </w:r>
      <w:r w:rsidRPr="00AA471F">
        <w:rPr>
          <w:rtl/>
        </w:rPr>
        <w:t xml:space="preserve"> </w:t>
      </w:r>
      <w:r w:rsidRPr="00AA471F">
        <w:rPr>
          <w:rFonts w:hint="eastAsia"/>
          <w:rtl/>
        </w:rPr>
        <w:t>של</w:t>
      </w:r>
      <w:r w:rsidRPr="00AA471F">
        <w:rPr>
          <w:rtl/>
        </w:rPr>
        <w:t xml:space="preserve"> </w:t>
      </w:r>
      <w:r>
        <w:rPr>
          <w:rFonts w:hint="cs"/>
          <w:rtl/>
        </w:rPr>
        <w:t>השרים</w:t>
      </w:r>
      <w:r w:rsidRPr="00AA471F">
        <w:rPr>
          <w:rtl/>
        </w:rPr>
        <w:t xml:space="preserve"> </w:t>
      </w:r>
      <w:r w:rsidRPr="00AA471F">
        <w:rPr>
          <w:rFonts w:hint="eastAsia"/>
          <w:rtl/>
        </w:rPr>
        <w:t>בחלק</w:t>
      </w:r>
      <w:r w:rsidRPr="00AA471F">
        <w:rPr>
          <w:rtl/>
        </w:rPr>
        <w:t xml:space="preserve"> </w:t>
      </w:r>
      <w:r w:rsidRPr="00AA471F">
        <w:rPr>
          <w:rFonts w:hint="eastAsia"/>
          <w:rtl/>
        </w:rPr>
        <w:t>מדיוני</w:t>
      </w:r>
      <w:r w:rsidRPr="00AA471F">
        <w:rPr>
          <w:rtl/>
        </w:rPr>
        <w:t xml:space="preserve"> </w:t>
      </w:r>
      <w:r w:rsidRPr="00AA471F">
        <w:rPr>
          <w:rFonts w:hint="eastAsia"/>
          <w:rtl/>
        </w:rPr>
        <w:t>הכנסת</w:t>
      </w:r>
      <w:r w:rsidRPr="00AA471F">
        <w:rPr>
          <w:rtl/>
        </w:rPr>
        <w:t xml:space="preserve"> </w:t>
      </w:r>
      <w:r w:rsidRPr="00AA471F">
        <w:rPr>
          <w:rFonts w:hint="eastAsia"/>
          <w:rtl/>
        </w:rPr>
        <w:t>ובקשר</w:t>
      </w:r>
      <w:r w:rsidRPr="00AA471F">
        <w:rPr>
          <w:rtl/>
        </w:rPr>
        <w:t xml:space="preserve"> </w:t>
      </w:r>
      <w:r w:rsidRPr="00AA471F">
        <w:rPr>
          <w:rFonts w:hint="eastAsia"/>
          <w:rtl/>
        </w:rPr>
        <w:t>הבלתי</w:t>
      </w:r>
      <w:r w:rsidRPr="00AA471F">
        <w:rPr>
          <w:rtl/>
        </w:rPr>
        <w:t xml:space="preserve"> </w:t>
      </w:r>
      <w:r w:rsidRPr="00AA471F">
        <w:rPr>
          <w:rFonts w:hint="eastAsia"/>
          <w:rtl/>
        </w:rPr>
        <w:t>אמצעי</w:t>
      </w:r>
      <w:r w:rsidRPr="00AA471F">
        <w:rPr>
          <w:rtl/>
        </w:rPr>
        <w:t xml:space="preserve"> </w:t>
      </w:r>
      <w:r w:rsidRPr="00AA471F">
        <w:rPr>
          <w:rFonts w:hint="eastAsia"/>
          <w:rtl/>
        </w:rPr>
        <w:t>בין</w:t>
      </w:r>
      <w:r w:rsidRPr="00AA471F">
        <w:rPr>
          <w:rtl/>
        </w:rPr>
        <w:t xml:space="preserve"> </w:t>
      </w:r>
      <w:r>
        <w:rPr>
          <w:rFonts w:hint="cs"/>
          <w:rtl/>
        </w:rPr>
        <w:t>השרים</w:t>
      </w:r>
      <w:r w:rsidRPr="00AA471F">
        <w:rPr>
          <w:rtl/>
        </w:rPr>
        <w:t xml:space="preserve"> </w:t>
      </w:r>
      <w:r w:rsidRPr="00AA471F">
        <w:rPr>
          <w:rFonts w:hint="eastAsia"/>
          <w:rtl/>
        </w:rPr>
        <w:t>לחברי</w:t>
      </w:r>
      <w:r w:rsidRPr="00AA471F">
        <w:rPr>
          <w:rtl/>
        </w:rPr>
        <w:t xml:space="preserve"> </w:t>
      </w:r>
      <w:r w:rsidRPr="00AA471F">
        <w:rPr>
          <w:rFonts w:hint="eastAsia"/>
          <w:rtl/>
        </w:rPr>
        <w:t>הכנסת</w:t>
      </w:r>
      <w:r w:rsidRPr="00AA471F">
        <w:rPr>
          <w:rtl/>
        </w:rPr>
        <w:t xml:space="preserve">, </w:t>
      </w:r>
      <w:r w:rsidRPr="00AA471F">
        <w:rPr>
          <w:rFonts w:hint="eastAsia"/>
          <w:rtl/>
        </w:rPr>
        <w:t>אך</w:t>
      </w:r>
      <w:r w:rsidRPr="00AA471F">
        <w:rPr>
          <w:rtl/>
        </w:rPr>
        <w:t xml:space="preserve"> </w:t>
      </w:r>
      <w:r w:rsidRPr="00AA471F">
        <w:rPr>
          <w:rFonts w:hint="eastAsia"/>
          <w:rtl/>
        </w:rPr>
        <w:t>אין</w:t>
      </w:r>
      <w:r w:rsidRPr="00AA471F">
        <w:rPr>
          <w:rtl/>
        </w:rPr>
        <w:t xml:space="preserve"> </w:t>
      </w:r>
      <w:r w:rsidRPr="00AA471F">
        <w:rPr>
          <w:rFonts w:hint="eastAsia"/>
          <w:rtl/>
        </w:rPr>
        <w:t>בכך</w:t>
      </w:r>
      <w:r w:rsidRPr="00AA471F">
        <w:rPr>
          <w:rtl/>
        </w:rPr>
        <w:t xml:space="preserve"> </w:t>
      </w:r>
      <w:r w:rsidRPr="00AA471F">
        <w:rPr>
          <w:rFonts w:hint="eastAsia"/>
          <w:rtl/>
        </w:rPr>
        <w:t>כדי</w:t>
      </w:r>
      <w:r w:rsidRPr="00AA471F">
        <w:rPr>
          <w:rtl/>
        </w:rPr>
        <w:t xml:space="preserve"> </w:t>
      </w:r>
      <w:r w:rsidRPr="00AA471F">
        <w:rPr>
          <w:rFonts w:hint="eastAsia"/>
          <w:rtl/>
        </w:rPr>
        <w:t>להצדיק</w:t>
      </w:r>
      <w:r w:rsidRPr="00AA471F">
        <w:rPr>
          <w:rtl/>
        </w:rPr>
        <w:t xml:space="preserve"> </w:t>
      </w:r>
      <w:r w:rsidRPr="00AA471F">
        <w:rPr>
          <w:rFonts w:hint="eastAsia"/>
          <w:rtl/>
        </w:rPr>
        <w:t>את</w:t>
      </w:r>
      <w:r w:rsidRPr="00AA471F">
        <w:rPr>
          <w:rtl/>
        </w:rPr>
        <w:t xml:space="preserve"> </w:t>
      </w:r>
      <w:r w:rsidRPr="00AA471F">
        <w:rPr>
          <w:rFonts w:hint="eastAsia"/>
          <w:rtl/>
        </w:rPr>
        <w:t>המשך</w:t>
      </w:r>
      <w:r w:rsidRPr="00AA471F">
        <w:rPr>
          <w:rtl/>
        </w:rPr>
        <w:t xml:space="preserve"> </w:t>
      </w:r>
      <w:r w:rsidRPr="00AA471F">
        <w:rPr>
          <w:rFonts w:hint="eastAsia"/>
          <w:rtl/>
        </w:rPr>
        <w:t>המצב</w:t>
      </w:r>
      <w:r w:rsidRPr="00AA471F">
        <w:rPr>
          <w:rtl/>
        </w:rPr>
        <w:t xml:space="preserve"> </w:t>
      </w:r>
      <w:r w:rsidRPr="00AA471F">
        <w:rPr>
          <w:rFonts w:hint="eastAsia"/>
          <w:rtl/>
        </w:rPr>
        <w:t>הקיים</w:t>
      </w:r>
      <w:r w:rsidRPr="00AA471F">
        <w:rPr>
          <w:rtl/>
        </w:rPr>
        <w:t xml:space="preserve">, </w:t>
      </w:r>
      <w:r w:rsidRPr="00AA471F">
        <w:rPr>
          <w:rFonts w:hint="eastAsia"/>
          <w:rtl/>
        </w:rPr>
        <w:t>ודי</w:t>
      </w:r>
      <w:r w:rsidRPr="00AA471F">
        <w:rPr>
          <w:rtl/>
        </w:rPr>
        <w:t xml:space="preserve"> </w:t>
      </w:r>
      <w:r w:rsidRPr="00AA471F">
        <w:rPr>
          <w:rFonts w:hint="eastAsia"/>
          <w:rtl/>
        </w:rPr>
        <w:t>בשינוי</w:t>
      </w:r>
      <w:r w:rsidRPr="00AA471F">
        <w:rPr>
          <w:rtl/>
        </w:rPr>
        <w:t xml:space="preserve"> </w:t>
      </w:r>
      <w:r w:rsidRPr="00AA471F">
        <w:rPr>
          <w:rFonts w:hint="eastAsia"/>
          <w:rtl/>
        </w:rPr>
        <w:t>בתקנון</w:t>
      </w:r>
      <w:r w:rsidRPr="00AA471F">
        <w:rPr>
          <w:rtl/>
        </w:rPr>
        <w:t xml:space="preserve"> </w:t>
      </w:r>
      <w:r w:rsidRPr="00AA471F">
        <w:rPr>
          <w:rFonts w:hint="eastAsia"/>
          <w:rtl/>
        </w:rPr>
        <w:t>הכנסת</w:t>
      </w:r>
      <w:r w:rsidRPr="00AA471F">
        <w:rPr>
          <w:rtl/>
        </w:rPr>
        <w:t xml:space="preserve"> </w:t>
      </w:r>
      <w:r w:rsidRPr="00AA471F">
        <w:rPr>
          <w:rFonts w:hint="eastAsia"/>
          <w:rtl/>
        </w:rPr>
        <w:t>כדי</w:t>
      </w:r>
      <w:r w:rsidRPr="00AA471F">
        <w:rPr>
          <w:rtl/>
        </w:rPr>
        <w:t xml:space="preserve"> </w:t>
      </w:r>
      <w:r w:rsidRPr="00AA471F">
        <w:rPr>
          <w:rFonts w:hint="eastAsia"/>
          <w:rtl/>
        </w:rPr>
        <w:t>להבטיח</w:t>
      </w:r>
      <w:r w:rsidRPr="00AA471F">
        <w:rPr>
          <w:rtl/>
        </w:rPr>
        <w:t xml:space="preserve"> </w:t>
      </w:r>
      <w:r w:rsidRPr="00AA471F">
        <w:rPr>
          <w:rFonts w:hint="eastAsia"/>
          <w:rtl/>
        </w:rPr>
        <w:t>את</w:t>
      </w:r>
      <w:r w:rsidRPr="00AA471F">
        <w:rPr>
          <w:rtl/>
        </w:rPr>
        <w:t xml:space="preserve"> </w:t>
      </w:r>
      <w:r w:rsidRPr="00AA471F">
        <w:rPr>
          <w:rFonts w:hint="eastAsia"/>
          <w:rtl/>
        </w:rPr>
        <w:t>המשך</w:t>
      </w:r>
      <w:r w:rsidRPr="00AA471F">
        <w:rPr>
          <w:rtl/>
        </w:rPr>
        <w:t xml:space="preserve"> </w:t>
      </w:r>
      <w:r w:rsidRPr="00AA471F">
        <w:rPr>
          <w:rFonts w:hint="eastAsia"/>
          <w:rtl/>
        </w:rPr>
        <w:t>הפרקטיקה</w:t>
      </w:r>
      <w:r w:rsidRPr="00AA471F">
        <w:rPr>
          <w:rtl/>
        </w:rPr>
        <w:t xml:space="preserve"> </w:t>
      </w:r>
      <w:r w:rsidRPr="00AA471F">
        <w:rPr>
          <w:rFonts w:hint="eastAsia"/>
          <w:rtl/>
        </w:rPr>
        <w:t>המדוברת</w:t>
      </w:r>
      <w:r w:rsidRPr="00AA471F">
        <w:rPr>
          <w:rtl/>
        </w:rPr>
        <w:t>.</w:t>
      </w:r>
    </w:p>
    <w:p w14:paraId="72606DDD" w14:textId="77777777" w:rsidR="00B27CE8" w:rsidRPr="00811C31" w:rsidRDefault="00B27CE8" w:rsidP="00B27CE8">
      <w:pPr>
        <w:pStyle w:val="Hesber"/>
        <w:rPr>
          <w:rtl/>
        </w:rPr>
      </w:pPr>
      <w:r w:rsidRPr="00811C31">
        <w:rPr>
          <w:rFonts w:hint="cs"/>
          <w:rtl/>
        </w:rPr>
        <w:t>המנגנון השני בהצעת החוק נפוץ מאוד בחקיקה מסוג זה, והוא קבוע כבר עתה בסעיף 42ג(ג) לחוק</w:t>
      </w:r>
      <w:r>
        <w:rPr>
          <w:rFonts w:hint="cs"/>
          <w:rtl/>
        </w:rPr>
        <w:t>-</w:t>
      </w:r>
      <w:r w:rsidRPr="00811C31">
        <w:rPr>
          <w:rFonts w:hint="cs"/>
          <w:rtl/>
        </w:rPr>
        <w:t xml:space="preserve">יסוד: </w:t>
      </w:r>
      <w:r>
        <w:rPr>
          <w:rFonts w:hint="cs"/>
          <w:rtl/>
        </w:rPr>
        <w:t>הכנסת</w:t>
      </w:r>
      <w:r w:rsidRPr="00811C31">
        <w:rPr>
          <w:rFonts w:hint="cs"/>
          <w:rtl/>
        </w:rPr>
        <w:t xml:space="preserve">. מנגנון זה נועד להבטיח שהתפטרות </w:t>
      </w:r>
      <w:r>
        <w:rPr>
          <w:rFonts w:hint="cs"/>
          <w:rtl/>
        </w:rPr>
        <w:t>שר</w:t>
      </w:r>
      <w:r w:rsidRPr="00811C31">
        <w:rPr>
          <w:rFonts w:hint="cs"/>
          <w:rtl/>
        </w:rPr>
        <w:t xml:space="preserve"> מהכנסת תהא בתוקף רק כל עוד הוא מכהן בתפקידו; אם מסיבה כלשהי </w:t>
      </w:r>
      <w:r>
        <w:rPr>
          <w:rFonts w:hint="cs"/>
          <w:rtl/>
        </w:rPr>
        <w:t>השר</w:t>
      </w:r>
      <w:r w:rsidRPr="00811C31">
        <w:rPr>
          <w:rFonts w:hint="cs"/>
          <w:rtl/>
        </w:rPr>
        <w:t xml:space="preserve"> חדל לכהן בתפקידו</w:t>
      </w:r>
      <w:r>
        <w:rPr>
          <w:rFonts w:hint="cs"/>
          <w:rtl/>
        </w:rPr>
        <w:t>,</w:t>
      </w:r>
      <w:r w:rsidRPr="00811C31">
        <w:rPr>
          <w:rFonts w:hint="cs"/>
          <w:rtl/>
        </w:rPr>
        <w:t xml:space="preserve"> הוא ישוב לכהן בכנסת ויחליף את חבר הכנסת שנכנס במקומו. מנגנון זה מבטיח שחובת ההתפטרות מהכנסת לא תהווה עילה להרחקת חבר ממשלה מפעילות ציבורית שאליה נבחר כדין.</w:t>
      </w:r>
    </w:p>
    <w:p w14:paraId="7863B024" w14:textId="30244B15" w:rsidR="00B27CE8" w:rsidRPr="00811C31" w:rsidRDefault="00B27CE8" w:rsidP="00DF7DAD">
      <w:pPr>
        <w:pStyle w:val="Hesber"/>
        <w:rPr>
          <w:rtl/>
        </w:rPr>
      </w:pPr>
      <w:r w:rsidRPr="00811C31">
        <w:rPr>
          <w:rFonts w:hint="cs"/>
          <w:rtl/>
        </w:rPr>
        <w:t>המנגנון השלישי בהצעת החוק</w:t>
      </w:r>
      <w:r w:rsidR="00DF7DAD">
        <w:rPr>
          <w:rFonts w:hint="cs"/>
          <w:rtl/>
        </w:rPr>
        <w:t xml:space="preserve"> (</w:t>
      </w:r>
      <w:r w:rsidRPr="00811C31">
        <w:rPr>
          <w:rFonts w:hint="cs"/>
          <w:rtl/>
        </w:rPr>
        <w:t xml:space="preserve">סעיף </w:t>
      </w:r>
      <w:r>
        <w:rPr>
          <w:rFonts w:hint="cs"/>
          <w:rtl/>
        </w:rPr>
        <w:t>1</w:t>
      </w:r>
      <w:r w:rsidR="001B6B7A">
        <w:rPr>
          <w:rFonts w:hint="cs"/>
          <w:rtl/>
        </w:rPr>
        <w:t xml:space="preserve"> (</w:t>
      </w:r>
      <w:r>
        <w:rPr>
          <w:rFonts w:hint="cs"/>
          <w:rtl/>
        </w:rPr>
        <w:t>4</w:t>
      </w:r>
      <w:r w:rsidR="001B6B7A">
        <w:rPr>
          <w:rFonts w:hint="cs"/>
          <w:rtl/>
        </w:rPr>
        <w:t>)</w:t>
      </w:r>
      <w:r w:rsidR="00DF7DAD">
        <w:rPr>
          <w:rFonts w:hint="cs"/>
          <w:rtl/>
        </w:rPr>
        <w:t xml:space="preserve"> להצעת החוק</w:t>
      </w:r>
      <w:r>
        <w:rPr>
          <w:rFonts w:hint="cs"/>
          <w:rtl/>
        </w:rPr>
        <w:t>),</w:t>
      </w:r>
      <w:r w:rsidRPr="00811C31">
        <w:rPr>
          <w:rFonts w:hint="cs"/>
          <w:rtl/>
        </w:rPr>
        <w:t xml:space="preserve"> נועד להבטיח שההסדר לא יהווה תמריץ "לנפח" ממשלות מעבר לגודלן כפי שנקבע בחוק</w:t>
      </w:r>
      <w:r>
        <w:rPr>
          <w:rFonts w:hint="cs"/>
          <w:rtl/>
        </w:rPr>
        <w:t>-</w:t>
      </w:r>
      <w:r w:rsidRPr="00811C31">
        <w:rPr>
          <w:rFonts w:hint="cs"/>
          <w:rtl/>
        </w:rPr>
        <w:t xml:space="preserve">יסוד: הממשלה, העומד על </w:t>
      </w:r>
      <w:r w:rsidRPr="00BE0F39">
        <w:rPr>
          <w:rFonts w:hint="cs"/>
          <w:rtl/>
        </w:rPr>
        <w:t>19 שרים. במקרה שהממשלה תחוקק חקיקה העוקפת את חוק</w:t>
      </w:r>
      <w:r>
        <w:rPr>
          <w:rFonts w:hint="cs"/>
          <w:rtl/>
        </w:rPr>
        <w:t>-</w:t>
      </w:r>
      <w:r w:rsidRPr="00BE0F39">
        <w:rPr>
          <w:rFonts w:hint="cs"/>
          <w:rtl/>
        </w:rPr>
        <w:t>יסוד: הממשלה ותמנה למעלה מ-19 שרים</w:t>
      </w:r>
      <w:r w:rsidRPr="00811C31">
        <w:rPr>
          <w:rFonts w:hint="cs"/>
          <w:rtl/>
        </w:rPr>
        <w:t>, היא תחויב להחריג מתחולתו בשלב הראשון שרים ללא תיק, ול</w:t>
      </w:r>
      <w:r>
        <w:rPr>
          <w:rFonts w:hint="cs"/>
          <w:rtl/>
        </w:rPr>
        <w:t>אחר מכן</w:t>
      </w:r>
      <w:r w:rsidRPr="00811C31">
        <w:rPr>
          <w:rFonts w:hint="cs"/>
          <w:rtl/>
        </w:rPr>
        <w:t xml:space="preserve"> שרים "רגילים" לפי הכרעת הממשלה. במקרה כזה, השרים שיוחרגו, והם בלבד, ימשיכו לכהן בכנסת במקביל לתפקידם המיניסטריאלי. </w:t>
      </w:r>
    </w:p>
    <w:p w14:paraId="236954D5" w14:textId="77777777" w:rsidR="00B27CE8" w:rsidRPr="00811C31" w:rsidRDefault="00B27CE8" w:rsidP="00B27CE8">
      <w:pPr>
        <w:pStyle w:val="Hesber"/>
        <w:rPr>
          <w:rtl/>
        </w:rPr>
      </w:pPr>
      <w:r w:rsidRPr="00811C31">
        <w:rPr>
          <w:rFonts w:hint="cs"/>
          <w:rtl/>
        </w:rPr>
        <w:t>המנגנון הרביעי קובע שהצעת החוק תיכנס לתוקף בכנסת ה-21 ולא בכנסת הנוכחית, משום שמימושה של הצעת החוק בכנסת הנוכחית ישרת פוליטית במובהק את</w:t>
      </w:r>
      <w:r w:rsidRPr="00AA471F">
        <w:rPr>
          <w:rtl/>
        </w:rPr>
        <w:t xml:space="preserve"> המפלגות החברות בקואליציה ולכן יהיה נגוע באינטרסים פוליטיים ופרסונליים פסולים. על מנת שחוקים מסוג זה, החותרים לשינוי כללי המשחק המשטריים, ייהנו מלגיטימציה ציבורית, הסכמה פוליטית רחבה וניקיון כפיים, עליהם לחול מעבר ל"מסך הבערות", בתרחיש עתידי </w:t>
      </w:r>
      <w:r>
        <w:rPr>
          <w:rFonts w:hint="cs"/>
          <w:rtl/>
        </w:rPr>
        <w:t>בו לא</w:t>
      </w:r>
      <w:r w:rsidRPr="00AA471F">
        <w:rPr>
          <w:rtl/>
        </w:rPr>
        <w:t xml:space="preserve"> ניתן לדעת מי לכאורה "ירוויח" </w:t>
      </w:r>
      <w:r w:rsidRPr="00AA471F">
        <w:rPr>
          <w:rFonts w:hint="eastAsia"/>
          <w:rtl/>
        </w:rPr>
        <w:t>ממנו</w:t>
      </w:r>
      <w:r w:rsidRPr="00AA471F">
        <w:rPr>
          <w:rtl/>
        </w:rPr>
        <w:t xml:space="preserve"> </w:t>
      </w:r>
      <w:r w:rsidRPr="00AA471F">
        <w:rPr>
          <w:rFonts w:hint="eastAsia"/>
          <w:rtl/>
        </w:rPr>
        <w:t>נקודתית</w:t>
      </w:r>
      <w:r w:rsidRPr="00AA471F">
        <w:rPr>
          <w:rtl/>
        </w:rPr>
        <w:t>.</w:t>
      </w:r>
    </w:p>
    <w:p w14:paraId="1AE83DAE" w14:textId="4D9BAE3D" w:rsidR="00B27CE8" w:rsidRPr="00811C31" w:rsidRDefault="00B27CE8" w:rsidP="00B27CE8">
      <w:pPr>
        <w:pStyle w:val="Hesber"/>
        <w:rPr>
          <w:rtl/>
        </w:rPr>
      </w:pPr>
      <w:r w:rsidRPr="00811C31">
        <w:rPr>
          <w:rFonts w:hint="cs"/>
          <w:rtl/>
        </w:rPr>
        <w:t xml:space="preserve">מבחינה משפטית, לשון הצעת החוק מבוססת במידה רבה על הוראת השעה שמכוחה חל ההסדר המכונה "החוק הנורבגי הקטן" על הכנסת ה-20, תוך ביצוע התאמות נדרשות. הצעת החוק </w:t>
      </w:r>
      <w:r w:rsidR="00DF7DAD">
        <w:rPr>
          <w:rFonts w:hint="cs"/>
          <w:rtl/>
        </w:rPr>
        <w:t xml:space="preserve">נועדה להפוך </w:t>
      </w:r>
      <w:r w:rsidRPr="00811C31">
        <w:rPr>
          <w:rFonts w:hint="cs"/>
          <w:rtl/>
        </w:rPr>
        <w:t>את הוראת השעה בדבר "החוק הנורבגי הקטן" להסדר קבע שיחול בכנסת ה-20 (הנוכחית)</w:t>
      </w:r>
      <w:r>
        <w:rPr>
          <w:rFonts w:hint="cs"/>
          <w:rtl/>
        </w:rPr>
        <w:t>.</w:t>
      </w:r>
      <w:r w:rsidRPr="00AA471F">
        <w:rPr>
          <w:rtl/>
        </w:rPr>
        <w:t xml:space="preserve"> אך החל מהכנסת ה-21, כאמור, ייכנס לתוקף ההסדר המוצע המכונה "החוק הנורבגי הגדול" ויחליף את ההסדר הקיים.</w:t>
      </w:r>
    </w:p>
    <w:p w14:paraId="7B614129" w14:textId="77777777" w:rsidR="001B6B7A" w:rsidRPr="00D73212" w:rsidRDefault="001B6B7A" w:rsidP="001B6B7A">
      <w:pPr>
        <w:pStyle w:val="Hesber"/>
        <w:rPr>
          <w:color w:val="auto"/>
          <w:rtl/>
          <w:lang w:eastAsia="en-US"/>
        </w:rPr>
      </w:pPr>
      <w:bookmarkStart w:id="7" w:name="_GoBack"/>
      <w:bookmarkEnd w:id="7"/>
      <w:r w:rsidRPr="00D73212">
        <w:rPr>
          <w:color w:val="auto"/>
          <w:rtl/>
          <w:lang w:eastAsia="en-US"/>
        </w:rPr>
        <w:t>---------------------------------</w:t>
      </w:r>
    </w:p>
    <w:p w14:paraId="5D0DCE9C" w14:textId="77777777" w:rsidR="001B6B7A" w:rsidRPr="00D73212" w:rsidRDefault="001B6B7A" w:rsidP="001B6B7A">
      <w:pPr>
        <w:pStyle w:val="Hesber"/>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75BC154E" w14:textId="77777777" w:rsidR="001B6B7A" w:rsidRPr="00D73212" w:rsidRDefault="001B6B7A" w:rsidP="001B6B7A">
      <w:pPr>
        <w:pStyle w:val="Hesber"/>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4B8A3AFC" w14:textId="77777777" w:rsidR="001B6B7A" w:rsidRPr="00317312" w:rsidRDefault="001B6B7A" w:rsidP="001B6B7A">
      <w:pPr>
        <w:pStyle w:val="Hesber"/>
      </w:pPr>
      <w:r>
        <w:rPr>
          <w:rFonts w:hint="cs"/>
          <w:color w:val="auto"/>
          <w:rtl/>
          <w:lang w:eastAsia="en-US"/>
        </w:rPr>
        <w:t>י"ח בסיוון</w:t>
      </w:r>
      <w:r w:rsidRPr="00D73212">
        <w:rPr>
          <w:color w:val="auto"/>
          <w:rtl/>
          <w:lang w:eastAsia="en-US"/>
        </w:rPr>
        <w:t xml:space="preserve"> </w:t>
      </w:r>
      <w:r w:rsidRPr="00D73212">
        <w:rPr>
          <w:rFonts w:hint="cs"/>
          <w:color w:val="auto"/>
          <w:rtl/>
          <w:lang w:eastAsia="en-US"/>
        </w:rPr>
        <w:t>התשע</w:t>
      </w:r>
      <w:r w:rsidRPr="00D73212">
        <w:rPr>
          <w:color w:val="auto"/>
          <w:rtl/>
          <w:lang w:eastAsia="en-US"/>
        </w:rPr>
        <w:t>"</w:t>
      </w:r>
      <w:r>
        <w:rPr>
          <w:rFonts w:hint="cs"/>
          <w:color w:val="auto"/>
          <w:rtl/>
          <w:lang w:eastAsia="en-US"/>
        </w:rPr>
        <w:t>ז</w:t>
      </w:r>
      <w:r w:rsidRPr="00D73212">
        <w:rPr>
          <w:color w:val="auto"/>
          <w:rtl/>
          <w:lang w:eastAsia="en-US"/>
        </w:rPr>
        <w:t xml:space="preserve"> – </w:t>
      </w:r>
      <w:r>
        <w:rPr>
          <w:rFonts w:hint="cs"/>
          <w:color w:val="auto"/>
          <w:rtl/>
          <w:lang w:eastAsia="en-US"/>
        </w:rPr>
        <w:t>12.6</w:t>
      </w:r>
      <w:r w:rsidRPr="00D73212">
        <w:rPr>
          <w:color w:val="auto"/>
          <w:rtl/>
          <w:lang w:eastAsia="en-US"/>
        </w:rPr>
        <w:t>.</w:t>
      </w:r>
      <w:r>
        <w:rPr>
          <w:rFonts w:hint="cs"/>
          <w:color w:val="auto"/>
          <w:rtl/>
          <w:lang w:eastAsia="en-US"/>
        </w:rPr>
        <w:t>17</w:t>
      </w:r>
    </w:p>
    <w:p w14:paraId="7F6961CB" w14:textId="77777777" w:rsidR="00E13C27" w:rsidRPr="001B6B7A" w:rsidRDefault="00E13C27" w:rsidP="001B6B7A">
      <w:pPr>
        <w:rPr>
          <w:rtl/>
        </w:rPr>
      </w:pPr>
    </w:p>
    <w:sectPr w:rsidR="00E13C27" w:rsidRPr="001B6B7A"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1B6B7A">
      <w:rPr>
        <w:rStyle w:val="ab"/>
        <w:noProof/>
        <w:rtl/>
      </w:rPr>
      <w:t>3</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56B0AEAE" w14:textId="77777777" w:rsidR="00B27CE8" w:rsidRDefault="00B27CE8" w:rsidP="00B27CE8">
      <w:pPr>
        <w:pStyle w:val="a4"/>
        <w:rPr>
          <w:rtl/>
        </w:rPr>
      </w:pPr>
      <w:r>
        <w:rPr>
          <w:rStyle w:val="a6"/>
        </w:rPr>
        <w:footnoteRef/>
      </w:r>
      <w:r>
        <w:rPr>
          <w:rtl/>
        </w:rPr>
        <w:t xml:space="preserve"> </w:t>
      </w:r>
      <w:r>
        <w:rPr>
          <w:rFonts w:hint="cs"/>
          <w:rtl/>
        </w:rPr>
        <w:t>ס"ח התשי"ח, עמ' 69.</w:t>
      </w:r>
    </w:p>
  </w:footnote>
  <w:footnote w:id="3">
    <w:p w14:paraId="532A2A78" w14:textId="77777777" w:rsidR="00B27CE8" w:rsidRDefault="00B27CE8" w:rsidP="00B27CE8">
      <w:pPr>
        <w:pStyle w:val="a4"/>
      </w:pPr>
      <w:r>
        <w:rPr>
          <w:rStyle w:val="a6"/>
        </w:rPr>
        <w:footnoteRef/>
      </w:r>
      <w:r>
        <w:rPr>
          <w:rtl/>
        </w:rPr>
        <w:t xml:space="preserve"> </w:t>
      </w:r>
      <w:r>
        <w:rPr>
          <w:rFonts w:hint="cs"/>
          <w:rtl/>
        </w:rPr>
        <w:t>ס"ח התשס"א, עמ' 158.</w:t>
      </w:r>
    </w:p>
  </w:footnote>
  <w:footnote w:id="4">
    <w:p w14:paraId="13AC0E98" w14:textId="77777777" w:rsidR="00B27CE8" w:rsidRDefault="00B27CE8" w:rsidP="00B27CE8">
      <w:pPr>
        <w:pStyle w:val="a4"/>
      </w:pPr>
      <w:r>
        <w:rPr>
          <w:rStyle w:val="a6"/>
        </w:rPr>
        <w:footnoteRef/>
      </w:r>
      <w:r>
        <w:rPr>
          <w:rtl/>
        </w:rPr>
        <w:t xml:space="preserve"> </w:t>
      </w:r>
      <w:r>
        <w:rPr>
          <w:rFonts w:hint="cs"/>
          <w:rtl/>
        </w:rPr>
        <w:t>ס"ח התשע"ה, עמ' 248.</w:t>
      </w:r>
    </w:p>
  </w:footnote>
  <w:footnote w:id="5">
    <w:p w14:paraId="4AB89E42" w14:textId="77777777" w:rsidR="00B27CE8" w:rsidRDefault="00B27CE8" w:rsidP="00B27CE8">
      <w:pPr>
        <w:pStyle w:val="a4"/>
        <w:rPr>
          <w:rtl/>
        </w:rPr>
      </w:pPr>
      <w:r>
        <w:rPr>
          <w:rStyle w:val="a6"/>
        </w:rPr>
        <w:footnoteRef/>
      </w:r>
      <w:r>
        <w:rPr>
          <w:rtl/>
        </w:rPr>
        <w:t xml:space="preserve"> </w:t>
      </w:r>
      <w:r>
        <w:rPr>
          <w:rFonts w:hint="cs"/>
          <w:rtl/>
        </w:rPr>
        <w:t>ס"ח התשע"ה, עמ' 250.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6C0B06"/>
    <w:multiLevelType w:val="hybridMultilevel"/>
    <w:tmpl w:val="66FE7E12"/>
    <w:lvl w:ilvl="0" w:tplc="718A2CF0">
      <w:start w:val="1"/>
      <w:numFmt w:val="decimal"/>
      <w:lvlText w:val="(%1)"/>
      <w:lvlJc w:val="left"/>
      <w:pPr>
        <w:ind w:left="729" w:hanging="360"/>
      </w:pPr>
      <w:rPr>
        <w:rFonts w:hint="default"/>
        <w:sz w:val="26"/>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3"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B6B7A"/>
    <w:rsid w:val="001C23B0"/>
    <w:rsid w:val="001D7AAF"/>
    <w:rsid w:val="00203A7F"/>
    <w:rsid w:val="0021633A"/>
    <w:rsid w:val="002200A1"/>
    <w:rsid w:val="00222119"/>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2D8D"/>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5E35DF"/>
    <w:rsid w:val="0062674B"/>
    <w:rsid w:val="006346C2"/>
    <w:rsid w:val="006363B2"/>
    <w:rsid w:val="00644940"/>
    <w:rsid w:val="00665F12"/>
    <w:rsid w:val="00666920"/>
    <w:rsid w:val="006818A9"/>
    <w:rsid w:val="006A2D81"/>
    <w:rsid w:val="006C1D0D"/>
    <w:rsid w:val="0070601E"/>
    <w:rsid w:val="00712C72"/>
    <w:rsid w:val="00735FE9"/>
    <w:rsid w:val="00763CAA"/>
    <w:rsid w:val="00765F66"/>
    <w:rsid w:val="0078664F"/>
    <w:rsid w:val="007A26C2"/>
    <w:rsid w:val="007B1F6D"/>
    <w:rsid w:val="007C3FA6"/>
    <w:rsid w:val="007D585A"/>
    <w:rsid w:val="007D5A12"/>
    <w:rsid w:val="007E59F9"/>
    <w:rsid w:val="00810BCD"/>
    <w:rsid w:val="00811C31"/>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2B7B"/>
    <w:rsid w:val="00A443CF"/>
    <w:rsid w:val="00A6611D"/>
    <w:rsid w:val="00A72D77"/>
    <w:rsid w:val="00A82CB7"/>
    <w:rsid w:val="00A942C1"/>
    <w:rsid w:val="00AA2F03"/>
    <w:rsid w:val="00AA471F"/>
    <w:rsid w:val="00AB335D"/>
    <w:rsid w:val="00AC36F7"/>
    <w:rsid w:val="00AC63A4"/>
    <w:rsid w:val="00AD239E"/>
    <w:rsid w:val="00B078EE"/>
    <w:rsid w:val="00B10265"/>
    <w:rsid w:val="00B16A99"/>
    <w:rsid w:val="00B21211"/>
    <w:rsid w:val="00B27CE8"/>
    <w:rsid w:val="00B35784"/>
    <w:rsid w:val="00B733A7"/>
    <w:rsid w:val="00B75C91"/>
    <w:rsid w:val="00B770C7"/>
    <w:rsid w:val="00B975AD"/>
    <w:rsid w:val="00BC45FB"/>
    <w:rsid w:val="00BE0F39"/>
    <w:rsid w:val="00BF148D"/>
    <w:rsid w:val="00BF66DB"/>
    <w:rsid w:val="00C23B1A"/>
    <w:rsid w:val="00C310EB"/>
    <w:rsid w:val="00C9176A"/>
    <w:rsid w:val="00CF1AA2"/>
    <w:rsid w:val="00D12EF7"/>
    <w:rsid w:val="00D17704"/>
    <w:rsid w:val="00D17774"/>
    <w:rsid w:val="00D63620"/>
    <w:rsid w:val="00D8410D"/>
    <w:rsid w:val="00D867D7"/>
    <w:rsid w:val="00DB7060"/>
    <w:rsid w:val="00DE3153"/>
    <w:rsid w:val="00DF7DAD"/>
    <w:rsid w:val="00E06736"/>
    <w:rsid w:val="00E13C27"/>
    <w:rsid w:val="00E33BBD"/>
    <w:rsid w:val="00E374F2"/>
    <w:rsid w:val="00E45103"/>
    <w:rsid w:val="00E55A60"/>
    <w:rsid w:val="00E62778"/>
    <w:rsid w:val="00E63D38"/>
    <w:rsid w:val="00E665B9"/>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rsid w:val="00A72D77"/>
    <w:rPr>
      <w:rFonts w:ascii="Arial" w:eastAsia="Arial Unicode MS" w:hAnsi="Arial" w:cs="David"/>
      <w:snapToGrid w:val="0"/>
      <w:color w:val="000000"/>
      <w:sz w:val="14"/>
      <w:lang w:eastAsia="ja-JP"/>
    </w:rPr>
  </w:style>
  <w:style w:type="character" w:styleId="Hyperlink">
    <w:name w:val="Hyperlink"/>
    <w:basedOn w:val="a0"/>
    <w:unhideWhenUsed/>
    <w:rsid w:val="00A72D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51315-45BD-4EC0-9864-3E1F8B81D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88F4AFE3-9455-419C-8851-785A55F44517}">
  <ds:schemaRef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0B0F635-26D7-46E6-BF0B-27C0200B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973</Words>
  <Characters>4866</Characters>
  <Application>Microsoft Office Word</Application>
  <DocSecurity>0</DocSecurity>
  <Lines>40</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18</cp:revision>
  <cp:lastPrinted>2017-06-08T09:50:00Z</cp:lastPrinted>
  <dcterms:created xsi:type="dcterms:W3CDTF">2015-04-20T09:58:00Z</dcterms:created>
  <dcterms:modified xsi:type="dcterms:W3CDTF">2017-06-08T09:50:00Z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2017566</vt:r8>
  </property>
</Properties>
</file>