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2017029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רועי פולקמן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אמיר אוחנה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אכרם חסון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עודד פורר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חיים ילין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פרי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מירב בן ארי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אשר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פ/4300/20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0FB45CBC" w:rsidR="00E13C27" w:rsidRPr="00F67051" w:rsidRDefault="00A443CF" w:rsidP="00D60780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רישוי עסקים (תיקון – הארכת משך רישיון קבוע ורישיון זמני), התשע"ז</w:t>
      </w:r>
      <w:r w:rsidR="00D60780">
        <w:rPr>
          <w:rFonts w:hint="eastAsia"/>
          <w:rtl/>
        </w:rPr>
        <w:t>–</w:t>
      </w:r>
      <w:r>
        <w:rPr>
          <w:rFonts w:hint="cs"/>
          <w:rtl/>
        </w:rPr>
        <w:t>2017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FA1952" w14:paraId="4FBB3604" w14:textId="77777777" w:rsidTr="002C3041">
        <w:trPr>
          <w:cantSplit/>
          <w:trHeight w:val="60"/>
        </w:trPr>
        <w:tc>
          <w:tcPr>
            <w:tcW w:w="1871" w:type="dxa"/>
          </w:tcPr>
          <w:p w14:paraId="732C543B" w14:textId="333F60C7" w:rsidR="00FA1952" w:rsidRDefault="00FA1952" w:rsidP="00B84314">
            <w:pPr>
              <w:pStyle w:val="TableHead"/>
              <w:keepLines w:val="0"/>
              <w:spacing w:after="120"/>
              <w:jc w:val="both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תיקון סעיף 7א.</w:t>
            </w:r>
          </w:p>
        </w:tc>
        <w:tc>
          <w:tcPr>
            <w:tcW w:w="624" w:type="dxa"/>
          </w:tcPr>
          <w:p w14:paraId="06A85AAA" w14:textId="5AEE550A" w:rsidR="00FA1952" w:rsidRDefault="00D60780" w:rsidP="00B84314">
            <w:pPr>
              <w:pStyle w:val="TableText"/>
              <w:keepLines w:val="0"/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03AAEFB9" w14:textId="4CA423E6" w:rsidR="00FA1952" w:rsidRPr="00F86F89" w:rsidRDefault="0026486C" w:rsidP="009D750D">
            <w:pPr>
              <w:pStyle w:val="TableBlock"/>
              <w:rPr>
                <w:rtl/>
              </w:rPr>
            </w:pPr>
            <w:r w:rsidRPr="00F86F89">
              <w:rPr>
                <w:rtl/>
              </w:rPr>
              <w:t>בחוק רישוי עסקים, התשכ"ח–1968</w:t>
            </w:r>
            <w:r>
              <w:rPr>
                <w:rStyle w:val="a5"/>
                <w:rtl/>
              </w:rPr>
              <w:footnoteReference w:id="2"/>
            </w:r>
            <w:r w:rsidRPr="00F86F89">
              <w:rPr>
                <w:rtl/>
              </w:rPr>
              <w:t xml:space="preserve"> (להלן – החוק העיקרי),</w:t>
            </w:r>
            <w:r>
              <w:rPr>
                <w:rFonts w:hint="cs"/>
                <w:rtl/>
              </w:rPr>
              <w:t xml:space="preserve"> </w:t>
            </w:r>
            <w:r w:rsidR="00FA1952">
              <w:rPr>
                <w:rFonts w:hint="cs"/>
                <w:rtl/>
              </w:rPr>
              <w:t>ב</w:t>
            </w:r>
            <w:r w:rsidR="00FA1952" w:rsidRPr="00F86F89">
              <w:rPr>
                <w:rtl/>
              </w:rPr>
              <w:t>סעיף</w:t>
            </w:r>
            <w:r w:rsidR="00FA1952">
              <w:rPr>
                <w:rFonts w:hint="cs"/>
                <w:rtl/>
              </w:rPr>
              <w:t xml:space="preserve"> 7א </w:t>
            </w:r>
            <w:r w:rsidR="00FA1952">
              <w:rPr>
                <w:rFonts w:hint="eastAsia"/>
                <w:rtl/>
              </w:rPr>
              <w:t>–</w:t>
            </w:r>
          </w:p>
        </w:tc>
      </w:tr>
      <w:tr w:rsidR="002F1D80" w14:paraId="3D9B61D1" w14:textId="77777777" w:rsidTr="002C3041">
        <w:trPr>
          <w:cantSplit/>
          <w:trHeight w:val="60"/>
        </w:trPr>
        <w:tc>
          <w:tcPr>
            <w:tcW w:w="1871" w:type="dxa"/>
          </w:tcPr>
          <w:p w14:paraId="6C0CB9D8" w14:textId="3A358A69" w:rsidR="002F1D80" w:rsidRPr="00B84314" w:rsidRDefault="002F1D80" w:rsidP="00B84314">
            <w:pPr>
              <w:pStyle w:val="TableHead"/>
              <w:keepLines w:val="0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624" w:type="dxa"/>
          </w:tcPr>
          <w:p w14:paraId="3F4286A2" w14:textId="330BA34E" w:rsidR="002F1D80" w:rsidRDefault="002F1D80" w:rsidP="00B84314">
            <w:pPr>
              <w:pStyle w:val="TableText"/>
              <w:keepLines w:val="0"/>
              <w:spacing w:after="120"/>
            </w:pPr>
          </w:p>
        </w:tc>
        <w:tc>
          <w:tcPr>
            <w:tcW w:w="7146" w:type="dxa"/>
          </w:tcPr>
          <w:p w14:paraId="7633D5BB" w14:textId="56CFD94C" w:rsidR="002F1D80" w:rsidRPr="00B84314" w:rsidRDefault="00987A9D" w:rsidP="00B84314">
            <w:pPr>
              <w:pStyle w:val="TableHead"/>
              <w:keepLines w:val="0"/>
              <w:spacing w:after="120"/>
              <w:jc w:val="both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(1)</w:t>
            </w:r>
            <w:r>
              <w:rPr>
                <w:b w:val="0"/>
                <w:bCs w:val="0"/>
                <w:rtl/>
              </w:rPr>
              <w:tab/>
            </w:r>
            <w:r>
              <w:rPr>
                <w:rFonts w:hint="cs"/>
                <w:b w:val="0"/>
                <w:bCs w:val="0"/>
                <w:rtl/>
              </w:rPr>
              <w:t xml:space="preserve">בסעיף קטן </w:t>
            </w:r>
            <w:r w:rsidR="0050696D">
              <w:rPr>
                <w:rFonts w:hint="cs"/>
                <w:b w:val="0"/>
                <w:bCs w:val="0"/>
                <w:rtl/>
              </w:rPr>
              <w:t>(א),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Pr="00F86F89">
              <w:rPr>
                <w:b w:val="0"/>
                <w:bCs w:val="0"/>
                <w:rtl/>
              </w:rPr>
              <w:t>במקום</w:t>
            </w:r>
            <w:r>
              <w:rPr>
                <w:rFonts w:hint="cs"/>
                <w:b w:val="0"/>
                <w:bCs w:val="0"/>
                <w:rtl/>
              </w:rPr>
              <w:t xml:space="preserve"> "לת</w:t>
            </w:r>
            <w:r w:rsidR="002A3012">
              <w:rPr>
                <w:rFonts w:hint="cs"/>
                <w:b w:val="0"/>
                <w:bCs w:val="0"/>
                <w:rtl/>
              </w:rPr>
              <w:t xml:space="preserve">קופה של </w:t>
            </w:r>
            <w:r w:rsidR="00D60780">
              <w:rPr>
                <w:rFonts w:hint="cs"/>
                <w:b w:val="0"/>
                <w:bCs w:val="0"/>
                <w:rtl/>
              </w:rPr>
              <w:t>15 שנים" יבוא "לצמיתות";</w:t>
            </w:r>
          </w:p>
        </w:tc>
      </w:tr>
      <w:tr w:rsidR="007B466E" w14:paraId="5CAA41CC" w14:textId="77777777" w:rsidTr="002C3041">
        <w:trPr>
          <w:cantSplit/>
          <w:trHeight w:val="60"/>
        </w:trPr>
        <w:tc>
          <w:tcPr>
            <w:tcW w:w="1871" w:type="dxa"/>
          </w:tcPr>
          <w:p w14:paraId="6E22241E" w14:textId="77777777" w:rsidR="007B466E" w:rsidRPr="00B84314" w:rsidDel="00987A9D" w:rsidRDefault="007B466E" w:rsidP="00B84314">
            <w:pPr>
              <w:pStyle w:val="TableHead"/>
              <w:keepLines w:val="0"/>
              <w:spacing w:after="120"/>
              <w:jc w:val="both"/>
              <w:rPr>
                <w:b w:val="0"/>
                <w:bCs w:val="0"/>
                <w:rtl/>
              </w:rPr>
            </w:pPr>
          </w:p>
        </w:tc>
        <w:tc>
          <w:tcPr>
            <w:tcW w:w="624" w:type="dxa"/>
          </w:tcPr>
          <w:p w14:paraId="2ED08C95" w14:textId="77777777" w:rsidR="007B466E" w:rsidDel="00987A9D" w:rsidRDefault="007B466E" w:rsidP="00B84314">
            <w:pPr>
              <w:pStyle w:val="TableText"/>
              <w:keepLines w:val="0"/>
              <w:spacing w:after="120"/>
              <w:rPr>
                <w:rtl/>
              </w:rPr>
            </w:pPr>
          </w:p>
        </w:tc>
        <w:tc>
          <w:tcPr>
            <w:tcW w:w="7146" w:type="dxa"/>
          </w:tcPr>
          <w:p w14:paraId="11AE095F" w14:textId="01EAEDBA" w:rsidR="007B466E" w:rsidRDefault="007B466E" w:rsidP="00D607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בסעיף קטן (ב)(1),</w:t>
            </w:r>
            <w:r w:rsidR="00D60780">
              <w:rPr>
                <w:rFonts w:hint="cs"/>
                <w:rtl/>
              </w:rPr>
              <w:t xml:space="preserve"> במקום "משנה" יבוא "משלוש שנים";</w:t>
            </w:r>
          </w:p>
        </w:tc>
      </w:tr>
      <w:tr w:rsidR="00B84314" w14:paraId="7FA15009" w14:textId="77777777" w:rsidTr="002C3041">
        <w:trPr>
          <w:cantSplit/>
          <w:trHeight w:val="60"/>
        </w:trPr>
        <w:tc>
          <w:tcPr>
            <w:tcW w:w="1871" w:type="dxa"/>
          </w:tcPr>
          <w:p w14:paraId="212FD887" w14:textId="5DF6E3E9" w:rsidR="00B84314" w:rsidRPr="00B84314" w:rsidRDefault="00B84314" w:rsidP="00B84314">
            <w:pPr>
              <w:pStyle w:val="TableHead"/>
              <w:keepLines w:val="0"/>
              <w:spacing w:after="120"/>
              <w:jc w:val="both"/>
              <w:rPr>
                <w:b w:val="0"/>
                <w:bCs w:val="0"/>
                <w:rtl/>
              </w:rPr>
            </w:pPr>
          </w:p>
        </w:tc>
        <w:tc>
          <w:tcPr>
            <w:tcW w:w="624" w:type="dxa"/>
          </w:tcPr>
          <w:p w14:paraId="43927308" w14:textId="63923B8E" w:rsidR="00B84314" w:rsidRDefault="00B84314" w:rsidP="00B84314">
            <w:pPr>
              <w:pStyle w:val="TableText"/>
              <w:keepLines w:val="0"/>
              <w:spacing w:after="120"/>
            </w:pPr>
          </w:p>
        </w:tc>
        <w:tc>
          <w:tcPr>
            <w:tcW w:w="7146" w:type="dxa"/>
          </w:tcPr>
          <w:p w14:paraId="6453D864" w14:textId="177100A6" w:rsidR="00B84314" w:rsidRPr="00B84314" w:rsidRDefault="002A3012" w:rsidP="00464748">
            <w:pPr>
              <w:pStyle w:val="TableHead"/>
              <w:keepLines w:val="0"/>
              <w:spacing w:after="120"/>
              <w:jc w:val="both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</w:t>
            </w:r>
            <w:r w:rsidR="00464748">
              <w:rPr>
                <w:rFonts w:hint="cs"/>
                <w:b w:val="0"/>
                <w:bCs w:val="0"/>
                <w:rtl/>
              </w:rPr>
              <w:t>3</w:t>
            </w:r>
            <w:r>
              <w:rPr>
                <w:rFonts w:hint="cs"/>
                <w:b w:val="0"/>
                <w:bCs w:val="0"/>
                <w:rtl/>
              </w:rPr>
              <w:t>)</w:t>
            </w:r>
            <w:r>
              <w:rPr>
                <w:b w:val="0"/>
                <w:bCs w:val="0"/>
                <w:rtl/>
              </w:rPr>
              <w:tab/>
            </w:r>
            <w:r w:rsidR="007B466E">
              <w:rPr>
                <w:rFonts w:hint="cs"/>
                <w:b w:val="0"/>
                <w:bCs w:val="0"/>
                <w:rtl/>
              </w:rPr>
              <w:t>סעיף קטן</w:t>
            </w:r>
            <w:r>
              <w:rPr>
                <w:rFonts w:hint="cs"/>
                <w:b w:val="0"/>
                <w:bCs w:val="0"/>
                <w:rtl/>
              </w:rPr>
              <w:t xml:space="preserve"> (ג)</w:t>
            </w:r>
            <w:r w:rsidR="004545AA"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rFonts w:hint="eastAsia"/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בטל.</w:t>
            </w:r>
          </w:p>
        </w:tc>
      </w:tr>
      <w:tr w:rsidR="00B84314" w14:paraId="3CD7656E" w14:textId="77777777" w:rsidTr="002C3041">
        <w:trPr>
          <w:cantSplit/>
          <w:trHeight w:val="60"/>
        </w:trPr>
        <w:tc>
          <w:tcPr>
            <w:tcW w:w="1871" w:type="dxa"/>
          </w:tcPr>
          <w:p w14:paraId="00DE7E3C" w14:textId="708FF4C5" w:rsidR="00B84314" w:rsidRPr="00B84314" w:rsidRDefault="00AB5BA1" w:rsidP="00B84314">
            <w:pPr>
              <w:pStyle w:val="TableHead"/>
              <w:keepLines w:val="0"/>
              <w:spacing w:after="120"/>
              <w:jc w:val="both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תיקון סעיף 7ב.</w:t>
            </w:r>
          </w:p>
        </w:tc>
        <w:tc>
          <w:tcPr>
            <w:tcW w:w="624" w:type="dxa"/>
          </w:tcPr>
          <w:p w14:paraId="729D6B95" w14:textId="024C95DD" w:rsidR="00B84314" w:rsidRDefault="00D60780" w:rsidP="00B84314">
            <w:pPr>
              <w:pStyle w:val="TableText"/>
              <w:keepLines w:val="0"/>
              <w:spacing w:after="120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6" w:type="dxa"/>
          </w:tcPr>
          <w:p w14:paraId="1C351E48" w14:textId="7A941E31" w:rsidR="00B84314" w:rsidRPr="00B84314" w:rsidRDefault="00AB5BA1" w:rsidP="00B84314">
            <w:pPr>
              <w:pStyle w:val="TableHead"/>
              <w:keepLines w:val="0"/>
              <w:spacing w:after="120"/>
              <w:jc w:val="both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בסעיף 7ב(א) לחוק העיקרי</w:t>
            </w:r>
            <w:r w:rsidR="006A4261">
              <w:rPr>
                <w:rFonts w:hint="cs"/>
                <w:b w:val="0"/>
                <w:bCs w:val="0"/>
                <w:rtl/>
              </w:rPr>
              <w:t>, במקום "שנה אחת" יבוא "שלוש שנים".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52F9F49" w14:textId="796633A5" w:rsidR="00B84314" w:rsidRPr="00AA7E18" w:rsidRDefault="00B84314" w:rsidP="00D60780">
      <w:pPr>
        <w:pStyle w:val="Hesber"/>
        <w:rPr>
          <w:rtl/>
        </w:rPr>
      </w:pPr>
      <w:r w:rsidRPr="00AA7E18">
        <w:rPr>
          <w:rtl/>
        </w:rPr>
        <w:t xml:space="preserve">מצבה של </w:t>
      </w:r>
      <w:r w:rsidRPr="00AA7E18">
        <w:rPr>
          <w:rFonts w:hint="eastAsia"/>
          <w:rtl/>
        </w:rPr>
        <w:t>מדינת</w:t>
      </w:r>
      <w:r w:rsidRPr="00AA7E18">
        <w:rPr>
          <w:rtl/>
        </w:rPr>
        <w:t xml:space="preserve"> ישראל במדד קלות עשיית עסקים</w:t>
      </w:r>
      <w:r w:rsidRPr="00AA7E18">
        <w:t xml:space="preserve"> (Doing Business) </w:t>
      </w:r>
      <w:r w:rsidRPr="00AA7E18">
        <w:rPr>
          <w:rtl/>
        </w:rPr>
        <w:t xml:space="preserve">של הבנק העולמי, </w:t>
      </w:r>
      <w:r w:rsidRPr="00AA7E18">
        <w:rPr>
          <w:rFonts w:hint="eastAsia"/>
          <w:rtl/>
        </w:rPr>
        <w:t>הבודק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את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יעילות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הרגולציה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ועד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כמה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היא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ידידותית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לעסקים</w:t>
      </w:r>
      <w:r w:rsidRPr="00AA7E18">
        <w:rPr>
          <w:rtl/>
        </w:rPr>
        <w:t xml:space="preserve">, </w:t>
      </w:r>
      <w:r w:rsidRPr="00AA7E18">
        <w:rPr>
          <w:rFonts w:hint="eastAsia"/>
          <w:rtl/>
        </w:rPr>
        <w:t>מידרדר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בשנים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האחרונות</w:t>
      </w:r>
      <w:r w:rsidRPr="00AA7E18">
        <w:rPr>
          <w:rtl/>
        </w:rPr>
        <w:t xml:space="preserve">. </w:t>
      </w:r>
      <w:r w:rsidRPr="00AA7E18">
        <w:rPr>
          <w:rFonts w:hint="eastAsia"/>
          <w:rtl/>
        </w:rPr>
        <w:t>ב</w:t>
      </w:r>
      <w:r w:rsidRPr="00AA7E18">
        <w:rPr>
          <w:rtl/>
        </w:rPr>
        <w:t>דירוג האחרון ל</w:t>
      </w:r>
      <w:r w:rsidRPr="00AA7E18">
        <w:rPr>
          <w:rFonts w:hint="eastAsia"/>
          <w:rtl/>
        </w:rPr>
        <w:t>שנת</w:t>
      </w:r>
      <w:r w:rsidRPr="00AA7E18">
        <w:rPr>
          <w:rtl/>
        </w:rPr>
        <w:t xml:space="preserve"> 2016, </w:t>
      </w:r>
      <w:r w:rsidR="00D60780">
        <w:rPr>
          <w:rFonts w:hint="cs"/>
          <w:rtl/>
        </w:rPr>
        <w:t>דורגה</w:t>
      </w:r>
      <w:r w:rsidRPr="00AA7E18">
        <w:rPr>
          <w:rtl/>
        </w:rPr>
        <w:t xml:space="preserve"> ישראל במקום ה</w:t>
      </w:r>
      <w:r w:rsidR="00D60780">
        <w:rPr>
          <w:rFonts w:hint="cs"/>
          <w:rtl/>
        </w:rPr>
        <w:t>-</w:t>
      </w:r>
      <w:r w:rsidRPr="00AA7E18">
        <w:rPr>
          <w:rtl/>
        </w:rPr>
        <w:t xml:space="preserve">53 בעולם, דירוג נמוך מאוד, המציב את ישראל לצד כמה ממדינות העולם השלישי. הדירוג מעיד על הידרדרות </w:t>
      </w:r>
      <w:r w:rsidRPr="00AA7E18">
        <w:rPr>
          <w:rFonts w:hint="eastAsia"/>
          <w:rtl/>
        </w:rPr>
        <w:t>ביכולת</w:t>
      </w:r>
      <w:r w:rsidRPr="00AA7E18">
        <w:rPr>
          <w:rtl/>
        </w:rPr>
        <w:t xml:space="preserve"> פתיחת העסקים ועשיית העסקים בישראל. </w:t>
      </w:r>
    </w:p>
    <w:p w14:paraId="2A778305" w14:textId="4ACC41E0" w:rsidR="00B84314" w:rsidRPr="00AA7E18" w:rsidRDefault="00B84314" w:rsidP="009444D2">
      <w:pPr>
        <w:pStyle w:val="Hesber"/>
        <w:rPr>
          <w:rtl/>
        </w:rPr>
      </w:pPr>
      <w:r w:rsidRPr="00AA7E18">
        <w:rPr>
          <w:rFonts w:hint="eastAsia"/>
          <w:rtl/>
        </w:rPr>
        <w:t>תמונה</w:t>
      </w:r>
      <w:r w:rsidRPr="00AA7E18">
        <w:rPr>
          <w:rtl/>
        </w:rPr>
        <w:t xml:space="preserve"> זו מעלה את הצורך בהסרת החסמים לעשיית עסקים בישראל, בדגש על הקלת הרגולציה והבירוקרטיה בפתיחת עסקים חדשים. אחד החסמים המרכזיים המכבידים על התנהלותו הכלכלית </w:t>
      </w:r>
      <w:r w:rsidRPr="00AA7E18">
        <w:rPr>
          <w:rtl/>
        </w:rPr>
        <w:lastRenderedPageBreak/>
        <w:t xml:space="preserve">והבירוקרטית של עסק קטן הוא הליך </w:t>
      </w:r>
      <w:r w:rsidR="006A4261" w:rsidRPr="00AA7E18">
        <w:rPr>
          <w:rFonts w:hint="eastAsia"/>
          <w:rtl/>
        </w:rPr>
        <w:t>קבלת</w:t>
      </w:r>
      <w:r w:rsidR="006A4261" w:rsidRPr="00AA7E18">
        <w:rPr>
          <w:rtl/>
        </w:rPr>
        <w:t xml:space="preserve"> </w:t>
      </w:r>
      <w:r w:rsidR="006A4261" w:rsidRPr="00AA7E18">
        <w:rPr>
          <w:rFonts w:hint="eastAsia"/>
          <w:rtl/>
        </w:rPr>
        <w:t>רישיון</w:t>
      </w:r>
      <w:r w:rsidR="006A4261" w:rsidRPr="00AA7E18">
        <w:rPr>
          <w:rtl/>
        </w:rPr>
        <w:t xml:space="preserve"> </w:t>
      </w:r>
      <w:r w:rsidR="006A4261" w:rsidRPr="00AA7E18">
        <w:rPr>
          <w:rFonts w:hint="eastAsia"/>
          <w:rtl/>
        </w:rPr>
        <w:t>העסק</w:t>
      </w:r>
      <w:r w:rsidR="006A4261" w:rsidRPr="00AA7E18">
        <w:rPr>
          <w:rtl/>
        </w:rPr>
        <w:t xml:space="preserve"> </w:t>
      </w:r>
      <w:r w:rsidR="009444D2">
        <w:rPr>
          <w:rFonts w:hint="cs"/>
          <w:rtl/>
        </w:rPr>
        <w:t>–</w:t>
      </w:r>
      <w:r w:rsidR="006A4261" w:rsidRPr="00AA7E18">
        <w:rPr>
          <w:rtl/>
        </w:rPr>
        <w:t xml:space="preserve"> </w:t>
      </w:r>
      <w:r w:rsidR="006A4261" w:rsidRPr="00AA7E18">
        <w:rPr>
          <w:rFonts w:hint="eastAsia"/>
          <w:rtl/>
        </w:rPr>
        <w:t>מדובר</w:t>
      </w:r>
      <w:r w:rsidRPr="00AA7E18">
        <w:rPr>
          <w:rtl/>
        </w:rPr>
        <w:t xml:space="preserve"> </w:t>
      </w:r>
      <w:r w:rsidR="006A4261" w:rsidRPr="00AA7E18">
        <w:rPr>
          <w:rFonts w:hint="eastAsia"/>
          <w:rtl/>
        </w:rPr>
        <w:t>ב</w:t>
      </w:r>
      <w:r w:rsidRPr="00AA7E18">
        <w:rPr>
          <w:rFonts w:hint="eastAsia"/>
          <w:rtl/>
        </w:rPr>
        <w:t>הליך</w:t>
      </w:r>
      <w:r w:rsidR="004545AA" w:rsidRPr="00AA7E18">
        <w:rPr>
          <w:rFonts w:hint="cs"/>
          <w:rtl/>
        </w:rPr>
        <w:t xml:space="preserve"> לא פשוט</w:t>
      </w:r>
      <w:r w:rsidRPr="00AA7E18">
        <w:rPr>
          <w:rtl/>
        </w:rPr>
        <w:t xml:space="preserve"> הכרוך בקבלת אישור על עמידה ב</w:t>
      </w:r>
      <w:r w:rsidR="009D750D" w:rsidRPr="00AA7E18">
        <w:rPr>
          <w:rFonts w:hint="cs"/>
          <w:rtl/>
        </w:rPr>
        <w:t>תנאים</w:t>
      </w:r>
      <w:r w:rsidRPr="00AA7E18">
        <w:rPr>
          <w:rtl/>
        </w:rPr>
        <w:t xml:space="preserve"> המפורטים בחקיקה לגווניה על ידי משרדי ממשלה, הרשויות המקומיות, כוחות הביטחון ושירותי ההצלה, לפי העניין. </w:t>
      </w:r>
    </w:p>
    <w:p w14:paraId="41DE2B49" w14:textId="52F38A57" w:rsidR="00B84314" w:rsidRPr="00AA7E18" w:rsidRDefault="00B84314" w:rsidP="00464748">
      <w:pPr>
        <w:pStyle w:val="Hesber"/>
        <w:rPr>
          <w:rtl/>
        </w:rPr>
      </w:pPr>
      <w:r w:rsidRPr="00AA7E18">
        <w:rPr>
          <w:rFonts w:hint="eastAsia"/>
          <w:rtl/>
        </w:rPr>
        <w:t>תוקפו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של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רישיון</w:t>
      </w:r>
      <w:r w:rsidR="006A4261" w:rsidRPr="00AA7E18">
        <w:rPr>
          <w:rtl/>
        </w:rPr>
        <w:t xml:space="preserve"> העסק</w:t>
      </w:r>
      <w:r w:rsidRPr="00AA7E18">
        <w:rPr>
          <w:rtl/>
        </w:rPr>
        <w:t xml:space="preserve"> קבוע כיום בצו רישוי עסקים</w:t>
      </w:r>
      <w:r w:rsidR="00D60780">
        <w:rPr>
          <w:rFonts w:hint="cs"/>
          <w:rtl/>
        </w:rPr>
        <w:t xml:space="preserve"> (עסקים ט</w:t>
      </w:r>
      <w:r w:rsidR="000B2E51">
        <w:rPr>
          <w:rFonts w:hint="cs"/>
          <w:rtl/>
        </w:rPr>
        <w:t>עוני רישוי), התשע"ג</w:t>
      </w:r>
      <w:r w:rsidR="00464748">
        <w:rPr>
          <w:rFonts w:hint="eastAsia"/>
          <w:rtl/>
        </w:rPr>
        <w:t>–</w:t>
      </w:r>
      <w:bookmarkStart w:id="8" w:name="_GoBack"/>
      <w:bookmarkEnd w:id="8"/>
      <w:r w:rsidR="000B2E51">
        <w:rPr>
          <w:rFonts w:hint="cs"/>
          <w:rtl/>
        </w:rPr>
        <w:t xml:space="preserve">2013 (להלן </w:t>
      </w:r>
      <w:r w:rsidR="000B2E51">
        <w:rPr>
          <w:rFonts w:hint="eastAsia"/>
          <w:rtl/>
        </w:rPr>
        <w:t>–</w:t>
      </w:r>
      <w:r w:rsidR="000B2E51">
        <w:rPr>
          <w:rFonts w:hint="cs"/>
          <w:rtl/>
        </w:rPr>
        <w:t xml:space="preserve"> הצו)</w:t>
      </w:r>
      <w:r w:rsidRPr="00AA7E18">
        <w:rPr>
          <w:rtl/>
        </w:rPr>
        <w:t xml:space="preserve"> </w:t>
      </w:r>
      <w:r w:rsidR="006A4261" w:rsidRPr="00AA7E18">
        <w:rPr>
          <w:rFonts w:hint="eastAsia"/>
          <w:rtl/>
        </w:rPr>
        <w:t>וזאת</w:t>
      </w:r>
      <w:r w:rsidR="006A4261" w:rsidRPr="00AA7E18">
        <w:rPr>
          <w:rtl/>
        </w:rPr>
        <w:t xml:space="preserve"> </w:t>
      </w:r>
      <w:r w:rsidRPr="00AA7E18">
        <w:rPr>
          <w:rFonts w:hint="eastAsia"/>
          <w:rtl/>
        </w:rPr>
        <w:t>בהתאם</w:t>
      </w:r>
      <w:r w:rsidRPr="00AA7E18">
        <w:rPr>
          <w:rtl/>
        </w:rPr>
        <w:t xml:space="preserve"> לסיווג העסק בצו. </w:t>
      </w:r>
      <w:r w:rsidR="006A4261" w:rsidRPr="00AA7E18">
        <w:rPr>
          <w:rFonts w:hint="eastAsia"/>
          <w:rtl/>
        </w:rPr>
        <w:t>תוקף</w:t>
      </w:r>
      <w:r w:rsidR="006A4261" w:rsidRPr="00AA7E18">
        <w:rPr>
          <w:rtl/>
        </w:rPr>
        <w:t xml:space="preserve"> הרישיון </w:t>
      </w:r>
      <w:r w:rsidRPr="00AA7E18">
        <w:rPr>
          <w:rFonts w:hint="eastAsia"/>
          <w:rtl/>
        </w:rPr>
        <w:t>בצו</w:t>
      </w:r>
      <w:r w:rsidRPr="00AA7E18">
        <w:rPr>
          <w:rtl/>
        </w:rPr>
        <w:t xml:space="preserve"> נקבע באופן אחיד עבור כלל האישורים שעל העסק לקבל, ולפיכך, חלק מהבדיקות נערכות במועד מוקדם מהנדרש. מצב זה מביא לעודף בירוקרטיה ולהכבדה קשה הן על העסקים והן על הרשויות. </w:t>
      </w:r>
    </w:p>
    <w:p w14:paraId="032F5EF3" w14:textId="7D09FEE0" w:rsidR="00B84314" w:rsidRDefault="00B84314" w:rsidP="00D60780">
      <w:pPr>
        <w:pStyle w:val="Hesber"/>
        <w:rPr>
          <w:rtl/>
        </w:rPr>
      </w:pPr>
      <w:r w:rsidRPr="00AA7E18">
        <w:rPr>
          <w:rFonts w:hint="eastAsia"/>
          <w:rtl/>
        </w:rPr>
        <w:t>מטרת</w:t>
      </w:r>
      <w:r w:rsidR="006A4261" w:rsidRPr="00AA7E18">
        <w:rPr>
          <w:rFonts w:hint="eastAsia"/>
          <w:rtl/>
        </w:rPr>
        <w:t>ה</w:t>
      </w:r>
      <w:r w:rsidR="006A4261" w:rsidRPr="00AA7E18">
        <w:rPr>
          <w:rtl/>
        </w:rPr>
        <w:t xml:space="preserve"> של הצעת </w:t>
      </w:r>
      <w:r w:rsidR="007F0BE4">
        <w:rPr>
          <w:rFonts w:hint="cs"/>
          <w:rtl/>
        </w:rPr>
        <w:t>ה</w:t>
      </w:r>
      <w:r w:rsidRPr="00AA7E18">
        <w:rPr>
          <w:rFonts w:hint="eastAsia"/>
          <w:rtl/>
        </w:rPr>
        <w:t>חוק</w:t>
      </w:r>
      <w:r w:rsidRPr="00AA7E18">
        <w:rPr>
          <w:rtl/>
        </w:rPr>
        <w:t xml:space="preserve"> היא </w:t>
      </w:r>
      <w:r w:rsidR="006A4261" w:rsidRPr="00AA7E18">
        <w:rPr>
          <w:rFonts w:hint="eastAsia"/>
          <w:rtl/>
        </w:rPr>
        <w:t>להקל</w:t>
      </w:r>
      <w:r w:rsidRPr="00AA7E18">
        <w:rPr>
          <w:rtl/>
        </w:rPr>
        <w:t xml:space="preserve"> על עסקים קטנים ועל </w:t>
      </w:r>
      <w:r w:rsidRPr="00AA7E18">
        <w:rPr>
          <w:rFonts w:hint="eastAsia"/>
          <w:rtl/>
        </w:rPr>
        <w:t>רשויות</w:t>
      </w:r>
      <w:r w:rsidR="006A4261" w:rsidRPr="00AA7E18">
        <w:rPr>
          <w:rtl/>
        </w:rPr>
        <w:t xml:space="preserve"> הרישוי</w:t>
      </w:r>
      <w:r w:rsidRPr="00AA7E18">
        <w:rPr>
          <w:rtl/>
        </w:rPr>
        <w:t xml:space="preserve">, </w:t>
      </w:r>
      <w:r w:rsidR="006A4261" w:rsidRPr="00AA7E18">
        <w:rPr>
          <w:rFonts w:hint="eastAsia"/>
          <w:rtl/>
        </w:rPr>
        <w:t>כך</w:t>
      </w:r>
      <w:r w:rsidR="006A4261" w:rsidRPr="00AA7E18">
        <w:rPr>
          <w:rtl/>
        </w:rPr>
        <w:t xml:space="preserve"> שיוענק </w:t>
      </w:r>
      <w:r w:rsidRPr="00AA7E18">
        <w:rPr>
          <w:rFonts w:hint="eastAsia"/>
          <w:rtl/>
        </w:rPr>
        <w:t>רישיון</w:t>
      </w:r>
      <w:r w:rsidRPr="00AA7E18">
        <w:rPr>
          <w:rtl/>
        </w:rPr>
        <w:t xml:space="preserve"> קבוע </w:t>
      </w:r>
      <w:r w:rsidR="006A4261" w:rsidRPr="00AA7E18">
        <w:rPr>
          <w:rFonts w:hint="eastAsia"/>
          <w:rtl/>
        </w:rPr>
        <w:t>ללא</w:t>
      </w:r>
      <w:r w:rsidR="006A4261" w:rsidRPr="00AA7E18">
        <w:rPr>
          <w:rtl/>
        </w:rPr>
        <w:t xml:space="preserve"> </w:t>
      </w:r>
      <w:r w:rsidR="006A4261" w:rsidRPr="00AA7E18">
        <w:rPr>
          <w:rFonts w:hint="eastAsia"/>
          <w:rtl/>
        </w:rPr>
        <w:t>הגבלת</w:t>
      </w:r>
      <w:r w:rsidR="006A4261" w:rsidRPr="00AA7E18">
        <w:rPr>
          <w:rtl/>
        </w:rPr>
        <w:t xml:space="preserve"> </w:t>
      </w:r>
      <w:r w:rsidR="006A4261" w:rsidRPr="00AA7E18">
        <w:rPr>
          <w:rFonts w:hint="eastAsia"/>
          <w:rtl/>
        </w:rPr>
        <w:t>זמן</w:t>
      </w:r>
      <w:r w:rsidR="006A4261" w:rsidRPr="00AA7E18" w:rsidDel="006A4261">
        <w:rPr>
          <w:rtl/>
        </w:rPr>
        <w:t xml:space="preserve"> </w:t>
      </w:r>
      <w:r w:rsidRPr="00AA7E18">
        <w:rPr>
          <w:rFonts w:hint="eastAsia"/>
          <w:rtl/>
        </w:rPr>
        <w:t>לעסק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העומד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ב</w:t>
      </w:r>
      <w:r w:rsidR="009D750D" w:rsidRPr="00AA7E18">
        <w:rPr>
          <w:rFonts w:hint="cs"/>
          <w:rtl/>
        </w:rPr>
        <w:t>תנאים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הנדרשים</w:t>
      </w:r>
      <w:r w:rsidR="007F0BE4">
        <w:rPr>
          <w:rFonts w:hint="cs"/>
          <w:rtl/>
        </w:rPr>
        <w:t xml:space="preserve">, וזאת במקום ההגבלה הקיימת היום בחוק </w:t>
      </w:r>
      <w:r w:rsidR="007F0BE4" w:rsidRPr="00F86F89">
        <w:rPr>
          <w:rtl/>
        </w:rPr>
        <w:t>רישוי עסקים, התשכ"ח–1968</w:t>
      </w:r>
      <w:r w:rsidR="007F0BE4">
        <w:rPr>
          <w:rFonts w:hint="cs"/>
          <w:rtl/>
        </w:rPr>
        <w:t xml:space="preserve"> (להלן </w:t>
      </w:r>
      <w:r w:rsidR="007F0BE4">
        <w:rPr>
          <w:rFonts w:hint="eastAsia"/>
          <w:rtl/>
        </w:rPr>
        <w:t>–</w:t>
      </w:r>
      <w:r w:rsidR="007F0BE4">
        <w:rPr>
          <w:rFonts w:hint="cs"/>
          <w:rtl/>
        </w:rPr>
        <w:t xml:space="preserve"> החוק)</w:t>
      </w:r>
      <w:r w:rsidR="00D60780">
        <w:rPr>
          <w:rFonts w:hint="cs"/>
          <w:rtl/>
        </w:rPr>
        <w:t xml:space="preserve">, </w:t>
      </w:r>
      <w:r w:rsidR="007F0BE4">
        <w:rPr>
          <w:rFonts w:hint="cs"/>
          <w:rtl/>
        </w:rPr>
        <w:t xml:space="preserve"> לפיה רישיון עסק יינתן ל-15 שנים. כמו כן, ועל מנת ליצור</w:t>
      </w:r>
      <w:r w:rsidR="00D60C4D">
        <w:rPr>
          <w:rFonts w:hint="cs"/>
          <w:rtl/>
        </w:rPr>
        <w:t xml:space="preserve"> ודאות ואחידות</w:t>
      </w:r>
      <w:r w:rsidR="007F0BE4">
        <w:rPr>
          <w:rFonts w:hint="cs"/>
          <w:rtl/>
        </w:rPr>
        <w:t>, מוצע כי סמכותה של רשות הרישוי לקבוע תקופת תוקף קצרה יותר</w:t>
      </w:r>
      <w:r w:rsidR="00D60C4D">
        <w:rPr>
          <w:rFonts w:hint="cs"/>
          <w:rtl/>
        </w:rPr>
        <w:t xml:space="preserve"> של הרישיון</w:t>
      </w:r>
      <w:r w:rsidR="007F0BE4">
        <w:rPr>
          <w:rFonts w:hint="cs"/>
          <w:rtl/>
        </w:rPr>
        <w:t xml:space="preserve"> לסוג עסק מסוים</w:t>
      </w:r>
      <w:r w:rsidR="008563D5">
        <w:rPr>
          <w:rFonts w:hint="cs"/>
          <w:rtl/>
        </w:rPr>
        <w:t xml:space="preserve">, </w:t>
      </w:r>
      <w:r w:rsidR="007F0BE4">
        <w:rPr>
          <w:rFonts w:hint="cs"/>
          <w:rtl/>
        </w:rPr>
        <w:t>המעוגנת כיום בסעיף 7א(ג) לחוק</w:t>
      </w:r>
      <w:r w:rsidR="008563D5">
        <w:rPr>
          <w:rFonts w:hint="cs"/>
          <w:rtl/>
        </w:rPr>
        <w:t>,</w:t>
      </w:r>
      <w:r w:rsidR="00D60C4D">
        <w:rPr>
          <w:rFonts w:hint="cs"/>
          <w:rtl/>
        </w:rPr>
        <w:t xml:space="preserve"> </w:t>
      </w:r>
      <w:r w:rsidR="007F0BE4">
        <w:rPr>
          <w:rFonts w:hint="cs"/>
          <w:rtl/>
        </w:rPr>
        <w:t xml:space="preserve">תבוטל. </w:t>
      </w:r>
      <w:r w:rsidR="00D60780">
        <w:rPr>
          <w:rFonts w:hint="cs"/>
          <w:rtl/>
        </w:rPr>
        <w:t>נוסף על כך</w:t>
      </w:r>
      <w:r w:rsidR="00C02E0F" w:rsidRPr="00AA7E18">
        <w:rPr>
          <w:rFonts w:hint="cs"/>
          <w:rtl/>
        </w:rPr>
        <w:t>,</w:t>
      </w:r>
      <w:r w:rsidR="006A4261" w:rsidRPr="00AA7E18">
        <w:rPr>
          <w:rtl/>
        </w:rPr>
        <w:t xml:space="preserve"> </w:t>
      </w:r>
      <w:r w:rsidR="00CF271A" w:rsidRPr="00AA7E18">
        <w:rPr>
          <w:rFonts w:hint="eastAsia"/>
          <w:rtl/>
        </w:rPr>
        <w:t>וכחלק</w:t>
      </w:r>
      <w:r w:rsidR="00CF271A" w:rsidRPr="00AA7E18">
        <w:rPr>
          <w:rtl/>
        </w:rPr>
        <w:t xml:space="preserve"> מתהליך הפחתת הבירוקרטיה, </w:t>
      </w:r>
      <w:r w:rsidR="006A4261" w:rsidRPr="00AA7E18">
        <w:rPr>
          <w:rFonts w:hint="eastAsia"/>
          <w:rtl/>
        </w:rPr>
        <w:t>מוצע</w:t>
      </w:r>
      <w:r w:rsidR="006A4261" w:rsidRPr="00AA7E18">
        <w:rPr>
          <w:rtl/>
        </w:rPr>
        <w:t xml:space="preserve"> </w:t>
      </w:r>
      <w:r w:rsidR="009D750D" w:rsidRPr="00AA7E18">
        <w:rPr>
          <w:rFonts w:hint="cs"/>
          <w:rtl/>
        </w:rPr>
        <w:t xml:space="preserve">כי סמכותו של שר הפנים לקבוע תקופת </w:t>
      </w:r>
      <w:r w:rsidR="00C02E0F" w:rsidRPr="00AA7E18">
        <w:rPr>
          <w:rFonts w:hint="cs"/>
          <w:rtl/>
        </w:rPr>
        <w:t xml:space="preserve">תוקף קצרה יותר לסוג עסקים מסוים תעמוד על לא פחות משלוש שנים </w:t>
      </w:r>
      <w:r w:rsidR="009444D2">
        <w:rPr>
          <w:rFonts w:hint="cs"/>
          <w:rtl/>
        </w:rPr>
        <w:t>במקום שנה אחת כיום</w:t>
      </w:r>
      <w:r w:rsidR="008563D5">
        <w:rPr>
          <w:rFonts w:hint="cs"/>
          <w:rtl/>
        </w:rPr>
        <w:t>,</w:t>
      </w:r>
      <w:r w:rsidR="00F90254">
        <w:rPr>
          <w:rFonts w:hint="cs"/>
          <w:rtl/>
        </w:rPr>
        <w:t xml:space="preserve"> </w:t>
      </w:r>
      <w:r w:rsidR="008563D5">
        <w:rPr>
          <w:rFonts w:hint="cs"/>
          <w:rtl/>
        </w:rPr>
        <w:t>ו</w:t>
      </w:r>
      <w:r w:rsidR="00F90254">
        <w:rPr>
          <w:rFonts w:hint="cs"/>
          <w:rtl/>
        </w:rPr>
        <w:t xml:space="preserve">כי </w:t>
      </w:r>
      <w:r w:rsidRPr="00AA7E18">
        <w:rPr>
          <w:rFonts w:hint="eastAsia"/>
          <w:rtl/>
        </w:rPr>
        <w:t>תוקפו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של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רישיון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עסק</w:t>
      </w:r>
      <w:r w:rsidRPr="00AA7E18">
        <w:rPr>
          <w:rtl/>
        </w:rPr>
        <w:t xml:space="preserve"> </w:t>
      </w:r>
      <w:r w:rsidRPr="00AA7E18">
        <w:rPr>
          <w:rFonts w:hint="eastAsia"/>
          <w:rtl/>
        </w:rPr>
        <w:t>זמני</w:t>
      </w:r>
      <w:r w:rsidRPr="00AA7E18">
        <w:rPr>
          <w:rtl/>
        </w:rPr>
        <w:t xml:space="preserve"> </w:t>
      </w:r>
      <w:r w:rsidR="00C02E0F" w:rsidRPr="00AA7E18">
        <w:rPr>
          <w:rFonts w:hint="cs"/>
          <w:rtl/>
        </w:rPr>
        <w:t xml:space="preserve">יוארך </w:t>
      </w:r>
      <w:r w:rsidRPr="00AA7E18">
        <w:rPr>
          <w:rFonts w:hint="eastAsia"/>
          <w:rtl/>
        </w:rPr>
        <w:t>משנה</w:t>
      </w:r>
      <w:r w:rsidR="00CF271A" w:rsidRPr="00AA7E18">
        <w:rPr>
          <w:rtl/>
        </w:rPr>
        <w:t xml:space="preserve"> אחת</w:t>
      </w:r>
      <w:r w:rsidRPr="00AA7E18">
        <w:rPr>
          <w:rtl/>
        </w:rPr>
        <w:t xml:space="preserve"> לשלוש</w:t>
      </w:r>
      <w:r w:rsidR="00CF271A" w:rsidRPr="00AA7E18">
        <w:rPr>
          <w:rtl/>
        </w:rPr>
        <w:t xml:space="preserve"> שנים</w:t>
      </w:r>
      <w:r w:rsidR="00CF271A" w:rsidRPr="00C6628C">
        <w:rPr>
          <w:rtl/>
        </w:rPr>
        <w:t>.</w:t>
      </w:r>
      <w:r w:rsidRPr="00C6628C">
        <w:rPr>
          <w:rtl/>
        </w:rPr>
        <w:t xml:space="preserve"> </w:t>
      </w:r>
    </w:p>
    <w:p w14:paraId="0A1AB2A0" w14:textId="149D910F" w:rsidR="000B2E51" w:rsidRDefault="000B2E51" w:rsidP="00D60780">
      <w:pPr>
        <w:pStyle w:val="Hesber"/>
        <w:rPr>
          <w:rtl/>
        </w:rPr>
      </w:pPr>
    </w:p>
    <w:p w14:paraId="51A3D134" w14:textId="77777777" w:rsidR="000B2E51" w:rsidRPr="00C6628C" w:rsidRDefault="000B2E51" w:rsidP="00D60780">
      <w:pPr>
        <w:pStyle w:val="Hesber"/>
        <w:rPr>
          <w:rtl/>
        </w:rPr>
      </w:pPr>
    </w:p>
    <w:p w14:paraId="56BA2EDE" w14:textId="77777777" w:rsidR="000B2E51" w:rsidRPr="00D73212" w:rsidRDefault="000B2E51" w:rsidP="000B2E51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3FA4DC94" w14:textId="77777777" w:rsidR="000B2E51" w:rsidRPr="00D73212" w:rsidRDefault="000B2E51" w:rsidP="000B2E51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32AF031E" w14:textId="77777777" w:rsidR="000B2E51" w:rsidRPr="00D73212" w:rsidRDefault="000B2E51" w:rsidP="000B2E51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7F175835" w14:textId="77777777" w:rsidR="000B2E51" w:rsidRPr="00317312" w:rsidRDefault="000B2E51" w:rsidP="000B2E51">
      <w:pPr>
        <w:pStyle w:val="Hesber"/>
      </w:pPr>
      <w:r>
        <w:rPr>
          <w:rFonts w:hint="cs"/>
          <w:color w:val="auto"/>
          <w:rtl/>
          <w:lang w:eastAsia="en-US"/>
        </w:rPr>
        <w:t>י"ח בסיוון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12.6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</w:p>
    <w:p w14:paraId="7F6961CB" w14:textId="77777777" w:rsidR="00E13C27" w:rsidRPr="000B2E51" w:rsidRDefault="00E13C27" w:rsidP="00E13C27">
      <w:pPr>
        <w:pStyle w:val="Hesber"/>
        <w:rPr>
          <w:rtl/>
        </w:rPr>
      </w:pPr>
    </w:p>
    <w:sectPr w:rsidR="00E13C27" w:rsidRPr="000B2E51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5E7F0A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500214FB" w14:textId="6B5CEAFB" w:rsidR="0026486C" w:rsidRDefault="0026486C" w:rsidP="00D60780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התשכ"ח</w:t>
      </w:r>
      <w:r w:rsidR="00D60780">
        <w:rPr>
          <w:rFonts w:hint="cs"/>
          <w:rtl/>
        </w:rPr>
        <w:t xml:space="preserve">, </w:t>
      </w:r>
      <w:r>
        <w:rPr>
          <w:rFonts w:hint="cs"/>
          <w:rtl/>
        </w:rPr>
        <w:t>עמ' 204.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A44BA"/>
    <w:multiLevelType w:val="hybridMultilevel"/>
    <w:tmpl w:val="5FAEF8DE"/>
    <w:lvl w:ilvl="0" w:tplc="9D429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55F92"/>
    <w:rsid w:val="00063A3E"/>
    <w:rsid w:val="00072CAC"/>
    <w:rsid w:val="00075B7B"/>
    <w:rsid w:val="0007681A"/>
    <w:rsid w:val="000A542E"/>
    <w:rsid w:val="000B2E51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486C"/>
    <w:rsid w:val="00266D86"/>
    <w:rsid w:val="002728B4"/>
    <w:rsid w:val="0027600C"/>
    <w:rsid w:val="00292712"/>
    <w:rsid w:val="002A3012"/>
    <w:rsid w:val="002A487D"/>
    <w:rsid w:val="002C2E29"/>
    <w:rsid w:val="002C3041"/>
    <w:rsid w:val="002C7D8A"/>
    <w:rsid w:val="002D1EE3"/>
    <w:rsid w:val="002D63B8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545AA"/>
    <w:rsid w:val="00464748"/>
    <w:rsid w:val="004A06DC"/>
    <w:rsid w:val="004B24ED"/>
    <w:rsid w:val="004B6625"/>
    <w:rsid w:val="004D2D82"/>
    <w:rsid w:val="004D3876"/>
    <w:rsid w:val="004E4552"/>
    <w:rsid w:val="004E6CDF"/>
    <w:rsid w:val="0050696D"/>
    <w:rsid w:val="00553C9D"/>
    <w:rsid w:val="00562A66"/>
    <w:rsid w:val="005B064E"/>
    <w:rsid w:val="005D51AE"/>
    <w:rsid w:val="005E7F0A"/>
    <w:rsid w:val="0062674B"/>
    <w:rsid w:val="006363B2"/>
    <w:rsid w:val="00644940"/>
    <w:rsid w:val="00655554"/>
    <w:rsid w:val="006818A9"/>
    <w:rsid w:val="00687565"/>
    <w:rsid w:val="006A2D81"/>
    <w:rsid w:val="006A4261"/>
    <w:rsid w:val="006C1D0D"/>
    <w:rsid w:val="0070601E"/>
    <w:rsid w:val="00712C72"/>
    <w:rsid w:val="00735FE9"/>
    <w:rsid w:val="00763CAA"/>
    <w:rsid w:val="00765F66"/>
    <w:rsid w:val="0078664F"/>
    <w:rsid w:val="007B466E"/>
    <w:rsid w:val="007C3FA6"/>
    <w:rsid w:val="007D585A"/>
    <w:rsid w:val="007D5A12"/>
    <w:rsid w:val="007E59F9"/>
    <w:rsid w:val="007F0BE4"/>
    <w:rsid w:val="00810BCD"/>
    <w:rsid w:val="00812C98"/>
    <w:rsid w:val="00814D92"/>
    <w:rsid w:val="0083181D"/>
    <w:rsid w:val="00843EB2"/>
    <w:rsid w:val="008563D5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44D2"/>
    <w:rsid w:val="009456B6"/>
    <w:rsid w:val="00957589"/>
    <w:rsid w:val="00966D06"/>
    <w:rsid w:val="00982412"/>
    <w:rsid w:val="00983A8D"/>
    <w:rsid w:val="00987A9D"/>
    <w:rsid w:val="009A0DB8"/>
    <w:rsid w:val="009A7257"/>
    <w:rsid w:val="009D5F33"/>
    <w:rsid w:val="009D6E0A"/>
    <w:rsid w:val="009D750D"/>
    <w:rsid w:val="009E1E33"/>
    <w:rsid w:val="00A14672"/>
    <w:rsid w:val="00A26BD6"/>
    <w:rsid w:val="00A443CF"/>
    <w:rsid w:val="00A6611D"/>
    <w:rsid w:val="00A82CB7"/>
    <w:rsid w:val="00A942C1"/>
    <w:rsid w:val="00AA2F03"/>
    <w:rsid w:val="00AA7E18"/>
    <w:rsid w:val="00AB02DB"/>
    <w:rsid w:val="00AB5BA1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84314"/>
    <w:rsid w:val="00B975AD"/>
    <w:rsid w:val="00BC45FB"/>
    <w:rsid w:val="00BF148D"/>
    <w:rsid w:val="00C02E0F"/>
    <w:rsid w:val="00C23B1A"/>
    <w:rsid w:val="00C310EB"/>
    <w:rsid w:val="00C6628C"/>
    <w:rsid w:val="00C9176A"/>
    <w:rsid w:val="00CF1AA2"/>
    <w:rsid w:val="00CF271A"/>
    <w:rsid w:val="00D17774"/>
    <w:rsid w:val="00D43368"/>
    <w:rsid w:val="00D60780"/>
    <w:rsid w:val="00D60C4D"/>
    <w:rsid w:val="00D63620"/>
    <w:rsid w:val="00D8410D"/>
    <w:rsid w:val="00D867D7"/>
    <w:rsid w:val="00DB7060"/>
    <w:rsid w:val="00DE3153"/>
    <w:rsid w:val="00E06736"/>
    <w:rsid w:val="00E1370D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86F89"/>
    <w:rsid w:val="00F90254"/>
    <w:rsid w:val="00FA1952"/>
    <w:rsid w:val="00FA5E88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6C7C5-059F-46F7-8CCD-E8917F822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A8D8F0-B92F-411E-AABE-393170AA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406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23</cp:revision>
  <cp:lastPrinted>2017-06-08T07:54:00Z</cp:lastPrinted>
  <dcterms:created xsi:type="dcterms:W3CDTF">2015-04-20T09:58:00Z</dcterms:created>
  <dcterms:modified xsi:type="dcterms:W3CDTF">2017-06-08T09:17:00Z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2017029</vt:r8>
  </property>
</Properties>
</file>