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76803" w14:textId="77777777" w:rsidR="00A13DA4" w:rsidRPr="0000131B" w:rsidRDefault="00A13DA4" w:rsidP="00A13DA4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2013011</w:t>
      </w:r>
      <w:bookmarkEnd w:id="0"/>
    </w:p>
    <w:p w14:paraId="770DE9FE" w14:textId="77777777" w:rsidR="00A13DA4" w:rsidRPr="00DB7060" w:rsidRDefault="00A13DA4" w:rsidP="00A13DA4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6BD6AA3C" w14:textId="77777777" w:rsidR="00A13DA4" w:rsidRPr="00F67051" w:rsidRDefault="00A13DA4" w:rsidP="00A13DA4">
      <w:pPr>
        <w:rPr>
          <w:rFonts w:cs="David"/>
          <w:b/>
          <w:bCs/>
          <w:sz w:val="26"/>
          <w:szCs w:val="26"/>
          <w:rtl/>
        </w:rPr>
      </w:pPr>
    </w:p>
    <w:p w14:paraId="50A2157E" w14:textId="188D6297" w:rsidR="00A13DA4" w:rsidRPr="00904591" w:rsidRDefault="00A13DA4" w:rsidP="00171B80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רועי פולקמן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מירב בן ארי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עמר בר-לב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איציק שמולי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שולי מועלם-רפאלי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זאב בנימין בגין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מיכאל מלכיאלי</w:t>
      </w:r>
      <w:bookmarkEnd w:id="3"/>
      <w:r w:rsidR="00E524FE">
        <w:rPr>
          <w:b/>
          <w:bCs/>
          <w:rtl/>
        </w:rPr>
        <w:tab/>
      </w:r>
      <w:r w:rsidR="00E524FE">
        <w:rPr>
          <w:b/>
          <w:bCs/>
          <w:rtl/>
        </w:rPr>
        <w:tab/>
      </w:r>
      <w:r w:rsidR="00E524FE">
        <w:rPr>
          <w:b/>
          <w:bCs/>
          <w:rtl/>
        </w:rPr>
        <w:tab/>
      </w:r>
      <w:r>
        <w:t>______________________________________________</w:t>
      </w:r>
      <w:r w:rsidRPr="00E06736"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>
        <w:t xml:space="preserve">           </w:t>
      </w:r>
    </w:p>
    <w:p w14:paraId="4E171161" w14:textId="2DEC12FD" w:rsidR="00A13DA4" w:rsidRDefault="00171B80" w:rsidP="00171B80">
      <w:pPr>
        <w:spacing w:before="0" w:line="360" w:lineRule="auto"/>
        <w:ind w:left="5760" w:firstLine="720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פ/4060/20</w:t>
      </w:r>
    </w:p>
    <w:p w14:paraId="6602A3DB" w14:textId="545BAD7B" w:rsidR="00A13DA4" w:rsidRPr="00F67051" w:rsidRDefault="00A13DA4" w:rsidP="00171B80">
      <w:pPr>
        <w:pStyle w:val="HeadHatzaotHok"/>
        <w:rPr>
          <w:rtl/>
        </w:rPr>
      </w:pPr>
      <w:bookmarkStart w:id="4" w:name="LGS_Subject"/>
      <w:r>
        <w:rPr>
          <w:rFonts w:hint="cs"/>
          <w:rtl/>
        </w:rPr>
        <w:t>הצעת חוק להסדרת ההימורים החוקיים בישראל, התשע"ז</w:t>
      </w:r>
      <w:r w:rsidR="00171B80">
        <w:rPr>
          <w:rFonts w:hint="eastAsia"/>
          <w:rtl/>
        </w:rPr>
        <w:t>–</w:t>
      </w:r>
      <w:r>
        <w:rPr>
          <w:rFonts w:hint="cs"/>
          <w:rtl/>
        </w:rPr>
        <w:t>2017</w:t>
      </w:r>
      <w:bookmarkEnd w:id="4"/>
    </w:p>
    <w:p w14:paraId="0E54FECC" w14:textId="77777777" w:rsidR="00A13DA4" w:rsidRDefault="00A13DA4" w:rsidP="00A13DA4">
      <w:pPr>
        <w:pStyle w:val="HeadDivreiHesber"/>
        <w:spacing w:before="0" w:after="0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4"/>
        <w:gridCol w:w="624"/>
        <w:gridCol w:w="6520"/>
      </w:tblGrid>
      <w:tr w:rsidR="00A13DA4" w14:paraId="6BF1CD92" w14:textId="77777777" w:rsidTr="00860C68">
        <w:trPr>
          <w:cantSplit/>
        </w:trPr>
        <w:tc>
          <w:tcPr>
            <w:tcW w:w="1870" w:type="dxa"/>
          </w:tcPr>
          <w:p w14:paraId="170CE8A4" w14:textId="700A2A34" w:rsidR="00A13DA4" w:rsidRDefault="00A13DA4" w:rsidP="00860C68">
            <w:pPr>
              <w:pStyle w:val="TableSideHeading"/>
              <w:keepLines w:val="0"/>
              <w:rPr>
                <w:color w:val="FF0000"/>
                <w:szCs w:val="20"/>
                <w:rtl/>
              </w:rPr>
            </w:pPr>
            <w:r>
              <w:rPr>
                <w:rFonts w:hint="cs"/>
                <w:rtl/>
              </w:rPr>
              <w:t>מטרה</w:t>
            </w:r>
            <w:r w:rsidR="00993656">
              <w:rPr>
                <w:color w:val="FF0000"/>
                <w:szCs w:val="20"/>
                <w:rtl/>
              </w:rPr>
              <w:t xml:space="preserve">                                        </w:t>
            </w:r>
          </w:p>
          <w:p w14:paraId="65458BE8" w14:textId="77777777" w:rsidR="00A13DA4" w:rsidRDefault="00A13DA4" w:rsidP="0034745B">
            <w:pPr>
              <w:pStyle w:val="TableSideHeading"/>
              <w:spacing w:line="276" w:lineRule="auto"/>
              <w:rPr>
                <w:rtl/>
              </w:rPr>
            </w:pPr>
          </w:p>
        </w:tc>
        <w:tc>
          <w:tcPr>
            <w:tcW w:w="624" w:type="dxa"/>
          </w:tcPr>
          <w:p w14:paraId="38152331" w14:textId="1A301AB3" w:rsidR="00A13DA4" w:rsidRDefault="00993656" w:rsidP="0034745B">
            <w:pPr>
              <w:pStyle w:val="TableText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A13DA4">
              <w:rPr>
                <w:rFonts w:hint="cs"/>
                <w:rtl/>
              </w:rPr>
              <w:t>.</w:t>
            </w:r>
          </w:p>
          <w:p w14:paraId="1DF3D576" w14:textId="77777777" w:rsidR="00A13DA4" w:rsidRDefault="00A13DA4" w:rsidP="0034745B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558860AE" w14:textId="6A43AFFF" w:rsidR="001F51AF" w:rsidRDefault="00A13DA4" w:rsidP="0020628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מטרת</w:t>
            </w:r>
            <w:r w:rsidR="00206286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 </w:t>
            </w:r>
            <w:r w:rsidR="00206286">
              <w:rPr>
                <w:rFonts w:hint="cs"/>
                <w:rtl/>
              </w:rPr>
              <w:t xml:space="preserve">של חוק זה לבחון את מסוכנות תכניות ההימורים החוקיים בישראל המופעלות על ידי הגורמים המקיימים הימורים חוקיים בישראל ולהגביל את השפעותיהם השליליות של ההימורים החוקיים ואת חשיפת היתר להימורים אלו. </w:t>
            </w:r>
          </w:p>
        </w:tc>
      </w:tr>
      <w:tr w:rsidR="00993656" w14:paraId="4E347394" w14:textId="77777777" w:rsidTr="00282F13">
        <w:trPr>
          <w:cantSplit/>
        </w:trPr>
        <w:tc>
          <w:tcPr>
            <w:tcW w:w="1870" w:type="dxa"/>
          </w:tcPr>
          <w:p w14:paraId="071CBA31" w14:textId="70A982B2" w:rsidR="00993656" w:rsidRDefault="00993656" w:rsidP="0034745B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הגדרות</w:t>
            </w:r>
          </w:p>
        </w:tc>
        <w:tc>
          <w:tcPr>
            <w:tcW w:w="624" w:type="dxa"/>
          </w:tcPr>
          <w:p w14:paraId="741F8EF6" w14:textId="3207DE40" w:rsidR="00993656" w:rsidRDefault="00993656" w:rsidP="0034745B">
            <w:pPr>
              <w:pStyle w:val="TableText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4" w:type="dxa"/>
            <w:gridSpan w:val="2"/>
          </w:tcPr>
          <w:p w14:paraId="79BC772A" w14:textId="33968DF5" w:rsidR="00993656" w:rsidRDefault="00993656" w:rsidP="0020628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בחוק זה </w:t>
            </w:r>
            <w:r>
              <w:rPr>
                <w:rtl/>
              </w:rPr>
              <w:t>–</w:t>
            </w:r>
          </w:p>
        </w:tc>
      </w:tr>
      <w:tr w:rsidR="00993656" w14:paraId="608D349E" w14:textId="77777777" w:rsidTr="00282F13">
        <w:trPr>
          <w:cantSplit/>
        </w:trPr>
        <w:tc>
          <w:tcPr>
            <w:tcW w:w="1870" w:type="dxa"/>
          </w:tcPr>
          <w:p w14:paraId="2873ADCF" w14:textId="77777777" w:rsidR="00993656" w:rsidRDefault="00993656" w:rsidP="0034745B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78DFA0CF" w14:textId="77777777" w:rsidR="00993656" w:rsidRDefault="00993656" w:rsidP="0034745B">
            <w:pPr>
              <w:pStyle w:val="TableText"/>
              <w:keepLines w:val="0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36291166" w14:textId="49457157" w:rsidR="00993656" w:rsidRDefault="00993656" w:rsidP="0020628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"הימורים חוקיים בישראל"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כל אחד מאלה:</w:t>
            </w:r>
          </w:p>
        </w:tc>
      </w:tr>
      <w:tr w:rsidR="0071294E" w14:paraId="38E892D9" w14:textId="1F3C7A4B" w:rsidTr="00860C68">
        <w:trPr>
          <w:cantSplit/>
        </w:trPr>
        <w:tc>
          <w:tcPr>
            <w:tcW w:w="1870" w:type="dxa"/>
          </w:tcPr>
          <w:p w14:paraId="6AE61055" w14:textId="70951E8F" w:rsidR="0071294E" w:rsidRDefault="0071294E" w:rsidP="00860C68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170D6B11" w14:textId="77777777" w:rsidR="0071294E" w:rsidRDefault="0071294E" w:rsidP="00860C68">
            <w:pPr>
              <w:pStyle w:val="TableText"/>
              <w:ind w:right="0"/>
              <w:jc w:val="both"/>
            </w:pPr>
          </w:p>
        </w:tc>
        <w:tc>
          <w:tcPr>
            <w:tcW w:w="624" w:type="dxa"/>
          </w:tcPr>
          <w:p w14:paraId="0B6EE8E0" w14:textId="26570843" w:rsidR="0071294E" w:rsidRPr="00A13DA4" w:rsidRDefault="0071294E" w:rsidP="00860C68">
            <w:pPr>
              <w:pStyle w:val="TableText"/>
              <w:ind w:right="0"/>
              <w:jc w:val="both"/>
            </w:pPr>
          </w:p>
        </w:tc>
        <w:tc>
          <w:tcPr>
            <w:tcW w:w="6520" w:type="dxa"/>
          </w:tcPr>
          <w:p w14:paraId="6E2C3F59" w14:textId="578DA5F4" w:rsidR="0071294E" w:rsidRPr="00206286" w:rsidRDefault="0071294E" w:rsidP="00206286">
            <w:pPr>
              <w:pStyle w:val="TableBlock"/>
            </w:pPr>
            <w:r w:rsidRPr="00206286">
              <w:rPr>
                <w:rFonts w:hint="cs"/>
                <w:rtl/>
              </w:rPr>
              <w:t>(1)</w:t>
            </w:r>
            <w:r w:rsidRPr="00206286">
              <w:rPr>
                <w:rtl/>
              </w:rPr>
              <w:tab/>
            </w:r>
            <w:r w:rsidRPr="00206286">
              <w:rPr>
                <w:rFonts w:hint="cs"/>
                <w:rtl/>
              </w:rPr>
              <w:t>הימורים המתקיימים על פי היתר שר האוצר, בהתאם לסמכות הקבועה בסעיף 231 לחוק העונשין</w:t>
            </w:r>
            <w:r w:rsidR="0055782C" w:rsidRPr="00206286">
              <w:rPr>
                <w:rFonts w:hint="cs"/>
                <w:rtl/>
              </w:rPr>
              <w:t>, התשל"ז</w:t>
            </w:r>
            <w:r w:rsidR="0055782C" w:rsidRPr="00206286">
              <w:rPr>
                <w:rtl/>
              </w:rPr>
              <w:t>–</w:t>
            </w:r>
            <w:r w:rsidR="0055782C" w:rsidRPr="00206286">
              <w:rPr>
                <w:rFonts w:hint="cs"/>
                <w:rtl/>
              </w:rPr>
              <w:t>1977</w:t>
            </w:r>
            <w:r w:rsidR="0055782C" w:rsidRPr="00206286">
              <w:rPr>
                <w:szCs w:val="20"/>
                <w:rtl/>
              </w:rPr>
              <w:footnoteReference w:id="2"/>
            </w:r>
            <w:r w:rsidRPr="00206286">
              <w:rPr>
                <w:rFonts w:hint="cs"/>
                <w:rtl/>
              </w:rPr>
              <w:t>;</w:t>
            </w:r>
          </w:p>
        </w:tc>
      </w:tr>
      <w:tr w:rsidR="0071294E" w14:paraId="0EFF4692" w14:textId="5F8FF238" w:rsidTr="00860C68">
        <w:trPr>
          <w:cantSplit/>
        </w:trPr>
        <w:tc>
          <w:tcPr>
            <w:tcW w:w="1870" w:type="dxa"/>
          </w:tcPr>
          <w:p w14:paraId="057A58AA" w14:textId="77777777" w:rsidR="0071294E" w:rsidRDefault="0071294E" w:rsidP="00860C68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41A8314C" w14:textId="77777777" w:rsidR="0071294E" w:rsidRDefault="0071294E" w:rsidP="00860C68">
            <w:pPr>
              <w:pStyle w:val="TableText"/>
              <w:ind w:right="0"/>
              <w:jc w:val="both"/>
            </w:pPr>
          </w:p>
        </w:tc>
        <w:tc>
          <w:tcPr>
            <w:tcW w:w="624" w:type="dxa"/>
          </w:tcPr>
          <w:p w14:paraId="5463AD61" w14:textId="105AA89E" w:rsidR="0071294E" w:rsidRPr="00A13DA4" w:rsidRDefault="0071294E" w:rsidP="00860C68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520" w:type="dxa"/>
          </w:tcPr>
          <w:p w14:paraId="304C312D" w14:textId="7B28C3C5" w:rsidR="0071294E" w:rsidRPr="00206286" w:rsidRDefault="0071294E" w:rsidP="00206286">
            <w:pPr>
              <w:pStyle w:val="TableBlock"/>
              <w:rPr>
                <w:rtl/>
              </w:rPr>
            </w:pPr>
            <w:r w:rsidRPr="00206286">
              <w:rPr>
                <w:rFonts w:hint="cs"/>
                <w:rtl/>
              </w:rPr>
              <w:t>(2)</w:t>
            </w:r>
            <w:r w:rsidRPr="00206286">
              <w:rPr>
                <w:rtl/>
              </w:rPr>
              <w:tab/>
            </w:r>
            <w:r w:rsidRPr="00206286">
              <w:rPr>
                <w:rFonts w:hint="cs"/>
                <w:rtl/>
              </w:rPr>
              <w:t>הימורים שמקיימת המועצה להסדר ההימורים בספורט, בהתאם ל</w:t>
            </w:r>
            <w:r w:rsidR="00CA4ECF">
              <w:rPr>
                <w:rFonts w:hint="cs"/>
                <w:rtl/>
              </w:rPr>
              <w:t xml:space="preserve">הוראות </w:t>
            </w:r>
            <w:r w:rsidRPr="00206286">
              <w:rPr>
                <w:rFonts w:hint="cs"/>
                <w:rtl/>
              </w:rPr>
              <w:t xml:space="preserve">חוק </w:t>
            </w:r>
            <w:r w:rsidR="0055782C" w:rsidRPr="00206286">
              <w:rPr>
                <w:rFonts w:hint="cs"/>
                <w:rtl/>
              </w:rPr>
              <w:t>ל</w:t>
            </w:r>
            <w:r w:rsidRPr="00206286">
              <w:rPr>
                <w:rFonts w:hint="cs"/>
                <w:rtl/>
              </w:rPr>
              <w:t xml:space="preserve">הסדר </w:t>
            </w:r>
            <w:r w:rsidR="0055782C" w:rsidRPr="00206286">
              <w:rPr>
                <w:rFonts w:hint="cs"/>
                <w:rtl/>
              </w:rPr>
              <w:t>ה</w:t>
            </w:r>
            <w:r w:rsidRPr="00206286">
              <w:rPr>
                <w:rFonts w:hint="cs"/>
                <w:rtl/>
              </w:rPr>
              <w:t>הימורים בספורט, התשכ"ז</w:t>
            </w:r>
            <w:r w:rsidRPr="00206286">
              <w:rPr>
                <w:rtl/>
              </w:rPr>
              <w:t>–</w:t>
            </w:r>
            <w:r w:rsidRPr="00206286">
              <w:rPr>
                <w:rFonts w:hint="cs"/>
                <w:rtl/>
              </w:rPr>
              <w:t>1967</w:t>
            </w:r>
            <w:r w:rsidR="0055782C" w:rsidRPr="00CA4ECF">
              <w:rPr>
                <w:szCs w:val="20"/>
                <w:rtl/>
              </w:rPr>
              <w:footnoteReference w:id="3"/>
            </w:r>
            <w:r w:rsidRPr="00206286">
              <w:rPr>
                <w:rFonts w:hint="cs"/>
                <w:rtl/>
              </w:rPr>
              <w:t>.</w:t>
            </w:r>
          </w:p>
        </w:tc>
      </w:tr>
      <w:tr w:rsidR="00644EAD" w14:paraId="38AC778B" w14:textId="77777777" w:rsidTr="00282F13">
        <w:trPr>
          <w:cantSplit/>
        </w:trPr>
        <w:tc>
          <w:tcPr>
            <w:tcW w:w="1870" w:type="dxa"/>
          </w:tcPr>
          <w:p w14:paraId="05B5442C" w14:textId="77777777" w:rsidR="00644EAD" w:rsidRDefault="00644EAD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160510B2" w14:textId="77777777" w:rsidR="00644EAD" w:rsidRDefault="00644EAD">
            <w:pPr>
              <w:pStyle w:val="TableText"/>
              <w:ind w:right="0"/>
              <w:jc w:val="both"/>
            </w:pPr>
          </w:p>
        </w:tc>
        <w:tc>
          <w:tcPr>
            <w:tcW w:w="7144" w:type="dxa"/>
            <w:gridSpan w:val="2"/>
          </w:tcPr>
          <w:p w14:paraId="4AA86160" w14:textId="380E46F2" w:rsidR="00644EAD" w:rsidRPr="00206286" w:rsidRDefault="00644EAD" w:rsidP="00206286">
            <w:pPr>
              <w:pStyle w:val="TableBlockOutdent"/>
              <w:rPr>
                <w:rtl/>
              </w:rPr>
            </w:pPr>
            <w:r w:rsidRPr="00206286">
              <w:rPr>
                <w:rFonts w:hint="cs"/>
                <w:rtl/>
              </w:rPr>
              <w:t xml:space="preserve">"הממונה" </w:t>
            </w:r>
            <w:r w:rsidRPr="00206286">
              <w:rPr>
                <w:rtl/>
              </w:rPr>
              <w:t>–</w:t>
            </w:r>
            <w:r w:rsidRPr="00206286">
              <w:rPr>
                <w:rFonts w:hint="cs"/>
                <w:rtl/>
              </w:rPr>
              <w:t xml:space="preserve"> הממונה על הסדרת </w:t>
            </w:r>
            <w:r w:rsidR="00012CC7">
              <w:rPr>
                <w:rFonts w:hint="cs"/>
                <w:rtl/>
              </w:rPr>
              <w:t>ה</w:t>
            </w:r>
            <w:r w:rsidRPr="00206286">
              <w:rPr>
                <w:rFonts w:hint="cs"/>
                <w:rtl/>
              </w:rPr>
              <w:t xml:space="preserve">הימורים </w:t>
            </w:r>
            <w:r w:rsidR="00012CC7">
              <w:rPr>
                <w:rFonts w:hint="cs"/>
                <w:rtl/>
              </w:rPr>
              <w:t>ה</w:t>
            </w:r>
            <w:r w:rsidRPr="00206286">
              <w:rPr>
                <w:rFonts w:hint="cs"/>
                <w:rtl/>
              </w:rPr>
              <w:t>חוקיים שמונה לפי סעיף 3;</w:t>
            </w:r>
          </w:p>
        </w:tc>
      </w:tr>
      <w:tr w:rsidR="001C1D7A" w14:paraId="2199CEF8" w14:textId="77777777" w:rsidTr="00282F13">
        <w:trPr>
          <w:cantSplit/>
        </w:trPr>
        <w:tc>
          <w:tcPr>
            <w:tcW w:w="1870" w:type="dxa"/>
          </w:tcPr>
          <w:p w14:paraId="378ABD38" w14:textId="77777777" w:rsidR="001C1D7A" w:rsidRDefault="001C1D7A" w:rsidP="0071294E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6089D832" w14:textId="77777777" w:rsidR="001C1D7A" w:rsidRDefault="001C1D7A" w:rsidP="0071294E">
            <w:pPr>
              <w:pStyle w:val="TableText"/>
              <w:ind w:right="0"/>
              <w:jc w:val="both"/>
            </w:pPr>
          </w:p>
        </w:tc>
        <w:tc>
          <w:tcPr>
            <w:tcW w:w="7144" w:type="dxa"/>
            <w:gridSpan w:val="2"/>
          </w:tcPr>
          <w:p w14:paraId="31D709A5" w14:textId="1789F376" w:rsidR="001C1D7A" w:rsidRPr="00206286" w:rsidRDefault="001C1D7A" w:rsidP="00255070">
            <w:pPr>
              <w:pStyle w:val="TableBlock"/>
              <w:rPr>
                <w:rtl/>
              </w:rPr>
            </w:pPr>
            <w:r w:rsidRPr="00D46D76">
              <w:rPr>
                <w:rtl/>
              </w:rPr>
              <w:t>"השר</w:t>
            </w:r>
            <w:r w:rsidR="00931B24" w:rsidRPr="00D46D76">
              <w:rPr>
                <w:rFonts w:hint="cs"/>
                <w:rtl/>
              </w:rPr>
              <w:t>ים</w:t>
            </w:r>
            <w:r w:rsidRPr="00D46D76">
              <w:rPr>
                <w:rtl/>
              </w:rPr>
              <w:t>"</w:t>
            </w:r>
            <w:r w:rsidRPr="00206286">
              <w:rPr>
                <w:rFonts w:hint="cs"/>
                <w:rtl/>
              </w:rPr>
              <w:t xml:space="preserve"> </w:t>
            </w:r>
            <w:r w:rsidRPr="00206286">
              <w:rPr>
                <w:rFonts w:hint="eastAsia"/>
                <w:rtl/>
              </w:rPr>
              <w:t>–</w:t>
            </w:r>
            <w:r w:rsidRPr="00206286">
              <w:rPr>
                <w:rFonts w:hint="cs"/>
                <w:rtl/>
              </w:rPr>
              <w:t xml:space="preserve"> </w:t>
            </w:r>
            <w:r w:rsidR="00644EAD" w:rsidRPr="00206286">
              <w:rPr>
                <w:rFonts w:hint="cs"/>
                <w:rtl/>
              </w:rPr>
              <w:t>שר המשפטים</w:t>
            </w:r>
            <w:r w:rsidR="00931B24" w:rsidRPr="00206286">
              <w:rPr>
                <w:rFonts w:hint="cs"/>
                <w:rtl/>
              </w:rPr>
              <w:t xml:space="preserve"> ושר האוצר</w:t>
            </w:r>
            <w:r w:rsidR="00255070">
              <w:rPr>
                <w:rFonts w:hint="cs"/>
                <w:rtl/>
              </w:rPr>
              <w:t>.</w:t>
            </w:r>
          </w:p>
        </w:tc>
      </w:tr>
      <w:tr w:rsidR="00993656" w14:paraId="07093ECA" w14:textId="48DA90EB" w:rsidTr="00860C68">
        <w:trPr>
          <w:cantSplit/>
        </w:trPr>
        <w:tc>
          <w:tcPr>
            <w:tcW w:w="1870" w:type="dxa"/>
            <w:hideMark/>
          </w:tcPr>
          <w:p w14:paraId="36685C7D" w14:textId="27E9A18B" w:rsidR="00993656" w:rsidRDefault="00250910" w:rsidP="00250910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מינוי ממונה ו</w:t>
            </w:r>
            <w:r w:rsidR="00644EAD">
              <w:rPr>
                <w:rFonts w:hint="cs"/>
                <w:rtl/>
              </w:rPr>
              <w:t>תפקידי</w:t>
            </w:r>
            <w:r>
              <w:rPr>
                <w:rFonts w:hint="cs"/>
                <w:rtl/>
              </w:rPr>
              <w:t>ו</w:t>
            </w:r>
            <w:r w:rsidR="00644EAD">
              <w:rPr>
                <w:rFonts w:hint="cs"/>
                <w:rtl/>
              </w:rPr>
              <w:t xml:space="preserve"> </w:t>
            </w:r>
          </w:p>
        </w:tc>
        <w:tc>
          <w:tcPr>
            <w:tcW w:w="624" w:type="dxa"/>
            <w:hideMark/>
          </w:tcPr>
          <w:p w14:paraId="5CB10A64" w14:textId="63F88358" w:rsidR="00993656" w:rsidRDefault="00012CC7" w:rsidP="00012CC7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4" w:type="dxa"/>
            <w:gridSpan w:val="2"/>
            <w:hideMark/>
          </w:tcPr>
          <w:p w14:paraId="0EE87626" w14:textId="23BF66E7" w:rsidR="00993656" w:rsidRPr="00895E47" w:rsidRDefault="00250910" w:rsidP="00860C68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השרים ימנו ממונה על הסדרת ההימורים החוקיים אשר יפעל</w:t>
            </w:r>
            <w:r w:rsidR="00644EAD">
              <w:rPr>
                <w:rFonts w:hint="cs"/>
                <w:rtl/>
              </w:rPr>
              <w:t xml:space="preserve"> להסדרת ההימורים החוקיים בישראל ולשמירת האינטרס הציבורי </w:t>
            </w:r>
            <w:r>
              <w:rPr>
                <w:rFonts w:hint="cs"/>
                <w:rtl/>
              </w:rPr>
              <w:t>בתחום זה אשר יהיה מוסמך, בין השאר</w:t>
            </w:r>
            <w:r w:rsidR="00644EAD">
              <w:rPr>
                <w:rFonts w:hint="cs"/>
                <w:rtl/>
              </w:rPr>
              <w:t>:</w:t>
            </w:r>
            <w:r w:rsidR="00644EAD" w:rsidDel="00644EAD">
              <w:rPr>
                <w:rFonts w:hint="cs"/>
                <w:rtl/>
              </w:rPr>
              <w:t xml:space="preserve"> </w:t>
            </w:r>
          </w:p>
        </w:tc>
      </w:tr>
      <w:tr w:rsidR="00171B80" w14:paraId="2F28FC50" w14:textId="77777777" w:rsidTr="00504206">
        <w:trPr>
          <w:cantSplit/>
          <w:trHeight w:val="60"/>
        </w:trPr>
        <w:tc>
          <w:tcPr>
            <w:tcW w:w="1870" w:type="dxa"/>
          </w:tcPr>
          <w:p w14:paraId="7672AEB6" w14:textId="77777777" w:rsidR="00171B80" w:rsidRDefault="00171B80">
            <w:pPr>
              <w:pStyle w:val="TableSideHeading"/>
            </w:pPr>
          </w:p>
        </w:tc>
        <w:tc>
          <w:tcPr>
            <w:tcW w:w="624" w:type="dxa"/>
          </w:tcPr>
          <w:p w14:paraId="28A56DEF" w14:textId="77777777" w:rsidR="00171B80" w:rsidRDefault="00171B80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12ED2820" w14:textId="6151CCB3" w:rsidR="00171B80" w:rsidRDefault="00171B80" w:rsidP="00171B80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 w:rsidRPr="00206286">
              <w:rPr>
                <w:rFonts w:hint="cs"/>
                <w:rtl/>
              </w:rPr>
              <w:t xml:space="preserve">לאשר כי בתכנית הימורים שמבקש להפעיל גורם המקיים הימורים חוקיים אין כדי לגרום להתמכרות יתרה וכי לא גלום בה חשש ממשי או סיכון להתמכרות </w:t>
            </w:r>
            <w:r>
              <w:rPr>
                <w:rFonts w:hint="cs"/>
                <w:rtl/>
              </w:rPr>
              <w:t>כדי להצדיק את מניעתה;</w:t>
            </w:r>
          </w:p>
        </w:tc>
      </w:tr>
      <w:tr w:rsidR="00171B80" w14:paraId="61F7E2FF" w14:textId="77777777" w:rsidTr="00A12688">
        <w:trPr>
          <w:cantSplit/>
          <w:trHeight w:val="60"/>
        </w:trPr>
        <w:tc>
          <w:tcPr>
            <w:tcW w:w="1870" w:type="dxa"/>
          </w:tcPr>
          <w:p w14:paraId="5207B04E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0C037EC0" w14:textId="77777777" w:rsidR="00171B80" w:rsidRDefault="00171B80" w:rsidP="00250910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251CEE8A" w14:textId="2D6DB798" w:rsidR="00171B80" w:rsidRPr="00206286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Pr="00206286">
              <w:rPr>
                <w:rFonts w:hint="cs"/>
                <w:rtl/>
              </w:rPr>
              <w:t>לקבוע כללים והגבלות לפרסום</w:t>
            </w:r>
            <w:r w:rsidRPr="00206286">
              <w:rPr>
                <w:rtl/>
              </w:rPr>
              <w:t xml:space="preserve"> הימורים</w:t>
            </w:r>
            <w:r w:rsidRPr="00206286">
              <w:rPr>
                <w:rFonts w:hint="cs"/>
                <w:rtl/>
              </w:rPr>
              <w:t xml:space="preserve"> חוקיים במטרה להבטיח כי פרסום ההימורים י</w:t>
            </w:r>
            <w:r>
              <w:rPr>
                <w:rFonts w:hint="cs"/>
                <w:rtl/>
              </w:rPr>
              <w:t>י</w:t>
            </w:r>
            <w:r w:rsidRPr="00206286">
              <w:rPr>
                <w:rFonts w:hint="cs"/>
                <w:rtl/>
              </w:rPr>
              <w:t xml:space="preserve">עשה בהתאם לעקרונות אתיקה מקובלים ובאופן שאינו מביא לחשיפת יתר להימורים ואינו פועל ליצירת תפיסה מוטעית של הימורים כמשני חיים או מבטיחים הצלחה; </w:t>
            </w:r>
          </w:p>
        </w:tc>
      </w:tr>
      <w:tr w:rsidR="00171B80" w14:paraId="7095A3B7" w14:textId="77777777" w:rsidTr="0096775B">
        <w:trPr>
          <w:cantSplit/>
          <w:trHeight w:val="60"/>
        </w:trPr>
        <w:tc>
          <w:tcPr>
            <w:tcW w:w="1870" w:type="dxa"/>
          </w:tcPr>
          <w:p w14:paraId="393830EA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3BB94CC3" w14:textId="77777777" w:rsidR="00171B80" w:rsidRDefault="00171B80" w:rsidP="00C023A1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1BA052D0" w14:textId="2799D70A" w:rsidR="00171B80" w:rsidRPr="00206286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 w:rsidRPr="00206286">
              <w:rPr>
                <w:rFonts w:hint="cs"/>
                <w:rtl/>
              </w:rPr>
              <w:t>לאכוף קיום הוראות</w:t>
            </w:r>
            <w:r>
              <w:rPr>
                <w:rFonts w:hint="cs"/>
                <w:rtl/>
              </w:rPr>
              <w:t xml:space="preserve"> כאמור בפסקה (2)</w:t>
            </w:r>
            <w:r w:rsidRPr="00206286">
              <w:rPr>
                <w:rFonts w:hint="cs"/>
                <w:rtl/>
              </w:rPr>
              <w:t xml:space="preserve"> ביחס לפרסומים ובכלל זאת לאשר מראש, לבקשת גורם המקיים הימורים חוקיים, כי פרסום מוצע מטעמו אינו חורג מהכללים ומההגבלות שנקבעו</w:t>
            </w:r>
            <w:r>
              <w:rPr>
                <w:rFonts w:hint="cs"/>
                <w:rtl/>
              </w:rPr>
              <w:t>;</w:t>
            </w:r>
          </w:p>
        </w:tc>
      </w:tr>
      <w:tr w:rsidR="00171B80" w14:paraId="04AB12A0" w14:textId="77777777" w:rsidTr="00D56100">
        <w:trPr>
          <w:cantSplit/>
          <w:trHeight w:val="60"/>
        </w:trPr>
        <w:tc>
          <w:tcPr>
            <w:tcW w:w="1870" w:type="dxa"/>
          </w:tcPr>
          <w:p w14:paraId="2F43D93E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58F1F970" w14:textId="77777777" w:rsidR="00171B80" w:rsidRDefault="00171B80" w:rsidP="00C023A1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1C9469C9" w14:textId="3616664E" w:rsidR="00171B80" w:rsidRPr="00206286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(4)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להציע לשרים תכניות לצמצום התמכרויות;</w:t>
            </w:r>
          </w:p>
        </w:tc>
      </w:tr>
      <w:tr w:rsidR="00171B80" w14:paraId="6AB345FB" w14:textId="77777777" w:rsidTr="000C057C">
        <w:trPr>
          <w:cantSplit/>
          <w:trHeight w:val="60"/>
        </w:trPr>
        <w:tc>
          <w:tcPr>
            <w:tcW w:w="1870" w:type="dxa"/>
          </w:tcPr>
          <w:p w14:paraId="5E863EF3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5F29EA8F" w14:textId="77777777" w:rsidR="00171B80" w:rsidRDefault="00171B80" w:rsidP="00282F13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4F577F16" w14:textId="343C92C9" w:rsidR="00171B80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(5)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לבחון את עברם הפלילי של </w:t>
            </w:r>
            <w:r w:rsidRPr="00206286">
              <w:rPr>
                <w:rFonts w:hint="cs"/>
                <w:rtl/>
              </w:rPr>
              <w:t>המבקשים לעסוק בתחום ההימורים החוקיים, לרבות כזכיינים מטעם הגורמים המקיימים הימורים חוקיים</w:t>
            </w:r>
            <w:r>
              <w:rPr>
                <w:rFonts w:hint="cs"/>
                <w:rtl/>
              </w:rPr>
              <w:t>;</w:t>
            </w:r>
          </w:p>
        </w:tc>
      </w:tr>
      <w:tr w:rsidR="00171B80" w14:paraId="09234B25" w14:textId="77777777" w:rsidTr="001B34D9">
        <w:trPr>
          <w:cantSplit/>
          <w:trHeight w:val="60"/>
        </w:trPr>
        <w:tc>
          <w:tcPr>
            <w:tcW w:w="1870" w:type="dxa"/>
          </w:tcPr>
          <w:p w14:paraId="318B515E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48BD41DD" w14:textId="77777777" w:rsidR="00171B80" w:rsidRDefault="00171B80" w:rsidP="00282F13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225A9C1A" w14:textId="7DC6A81F" w:rsidR="00171B80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(6)</w:t>
            </w:r>
            <w:r>
              <w:rPr>
                <w:rtl/>
              </w:rPr>
              <w:tab/>
            </w:r>
            <w:r w:rsidRPr="00206286">
              <w:rPr>
                <w:rFonts w:hint="cs"/>
                <w:rtl/>
              </w:rPr>
              <w:t>להורות למפעילי הימורים חוקיים</w:t>
            </w:r>
            <w:r>
              <w:rPr>
                <w:rFonts w:hint="cs"/>
                <w:rtl/>
              </w:rPr>
              <w:t>,</w:t>
            </w:r>
            <w:r w:rsidRPr="00206286">
              <w:rPr>
                <w:rFonts w:hint="cs"/>
                <w:rtl/>
              </w:rPr>
              <w:t xml:space="preserve"> בתיאום עם הרשות </w:t>
            </w:r>
            <w:r>
              <w:rPr>
                <w:rFonts w:hint="cs"/>
                <w:rtl/>
              </w:rPr>
              <w:t>המוסמכת כמשמעותה בחוק איסור הלבנת הון, התש"ס</w:t>
            </w:r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>2000</w:t>
            </w:r>
            <w:r>
              <w:rPr>
                <w:rStyle w:val="a5"/>
                <w:rtl/>
              </w:rPr>
              <w:footnoteReference w:id="4"/>
            </w:r>
            <w:r w:rsidRPr="00206286">
              <w:rPr>
                <w:rFonts w:hint="cs"/>
                <w:rtl/>
              </w:rPr>
              <w:t>, בדבר הסדרים ופעולות למניעת הלבנת הון בפעילות ההימורים החוקיים</w:t>
            </w:r>
            <w:r>
              <w:rPr>
                <w:rFonts w:hint="cs"/>
                <w:rtl/>
              </w:rPr>
              <w:t>;</w:t>
            </w:r>
          </w:p>
        </w:tc>
      </w:tr>
      <w:tr w:rsidR="00171B80" w14:paraId="53A8A1B0" w14:textId="77777777" w:rsidTr="0003538C">
        <w:trPr>
          <w:cantSplit/>
          <w:trHeight w:val="60"/>
        </w:trPr>
        <w:tc>
          <w:tcPr>
            <w:tcW w:w="1870" w:type="dxa"/>
          </w:tcPr>
          <w:p w14:paraId="000613B5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042EB24B" w14:textId="77777777" w:rsidR="00171B80" w:rsidRDefault="00171B80" w:rsidP="00282F13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0DDF8972" w14:textId="7C8B7884" w:rsidR="00171B80" w:rsidRPr="00206286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(7)</w:t>
            </w:r>
            <w:r>
              <w:rPr>
                <w:rtl/>
              </w:rPr>
              <w:tab/>
            </w:r>
            <w:r w:rsidRPr="00206286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>פקח</w:t>
            </w:r>
            <w:r w:rsidRPr="0020628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על קיום התנאים </w:t>
            </w:r>
            <w:r w:rsidRPr="00206286">
              <w:rPr>
                <w:rFonts w:hint="cs"/>
                <w:rtl/>
              </w:rPr>
              <w:t>למתן היתר לעריכת הגרלות הימורים המתקיימים על פי היתר שר האוצר, בהתאם לסמכות הקבועה בסעיף 231 לחוק העונשין, התשל"ז</w:t>
            </w:r>
            <w:r w:rsidRPr="00206286">
              <w:rPr>
                <w:rtl/>
              </w:rPr>
              <w:t>–</w:t>
            </w:r>
            <w:r w:rsidRPr="00206286">
              <w:rPr>
                <w:rFonts w:hint="cs"/>
                <w:rtl/>
              </w:rPr>
              <w:t>1977</w:t>
            </w:r>
            <w:r>
              <w:rPr>
                <w:rFonts w:hint="cs"/>
                <w:rtl/>
              </w:rPr>
              <w:t xml:space="preserve">, </w:t>
            </w:r>
            <w:r w:rsidRPr="00206286">
              <w:rPr>
                <w:rFonts w:hint="cs"/>
                <w:rtl/>
              </w:rPr>
              <w:t>אצל הגורמים המקיימים הגרלות על פי היתר כאמור.</w:t>
            </w:r>
          </w:p>
        </w:tc>
      </w:tr>
      <w:tr w:rsidR="00DA19C3" w14:paraId="53794AB9" w14:textId="77777777" w:rsidTr="00282F13">
        <w:trPr>
          <w:cantSplit/>
        </w:trPr>
        <w:tc>
          <w:tcPr>
            <w:tcW w:w="1870" w:type="dxa"/>
          </w:tcPr>
          <w:p w14:paraId="15FFA055" w14:textId="6885EA71" w:rsidR="00DA19C3" w:rsidRDefault="00282F13" w:rsidP="00282F13">
            <w:pPr>
              <w:pStyle w:val="TableSideHeading"/>
            </w:pPr>
            <w:r>
              <w:rPr>
                <w:rFonts w:hint="cs"/>
                <w:rtl/>
              </w:rPr>
              <w:t>ה</w:t>
            </w:r>
            <w:r w:rsidR="002823D1">
              <w:rPr>
                <w:rFonts w:hint="cs"/>
                <w:rtl/>
              </w:rPr>
              <w:t>מועצה להסדרת פעילות ההימורים החוקיים</w:t>
            </w:r>
          </w:p>
        </w:tc>
        <w:tc>
          <w:tcPr>
            <w:tcW w:w="624" w:type="dxa"/>
          </w:tcPr>
          <w:p w14:paraId="0AB6A9FC" w14:textId="381728BA" w:rsidR="00DA19C3" w:rsidRDefault="00D46D76" w:rsidP="00D46D76">
            <w:pPr>
              <w:pStyle w:val="TableText"/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7144" w:type="dxa"/>
            <w:gridSpan w:val="2"/>
          </w:tcPr>
          <w:p w14:paraId="54B589EE" w14:textId="0AA913EA" w:rsidR="00DA19C3" w:rsidRPr="00206286" w:rsidRDefault="00301180" w:rsidP="00860C68">
            <w:pPr>
              <w:pStyle w:val="TableBlock"/>
            </w:pPr>
            <w:r>
              <w:rPr>
                <w:rFonts w:hint="cs"/>
                <w:rtl/>
              </w:rPr>
              <w:t xml:space="preserve">השרים ימנו </w:t>
            </w:r>
            <w:r w:rsidR="00BF0203">
              <w:rPr>
                <w:rFonts w:hint="cs"/>
                <w:rtl/>
              </w:rPr>
              <w:t>את המועצה</w:t>
            </w:r>
            <w:r w:rsidR="00171B80">
              <w:rPr>
                <w:rFonts w:hint="cs"/>
                <w:rtl/>
              </w:rPr>
              <w:t xml:space="preserve"> להסדרת פעילות ההימורים החוקיים;</w:t>
            </w:r>
            <w:r w:rsidR="00BF0203">
              <w:rPr>
                <w:rFonts w:hint="cs"/>
                <w:rtl/>
              </w:rPr>
              <w:t xml:space="preserve"> במועצה יכהנו </w:t>
            </w:r>
            <w:r w:rsidR="00AA6BBE">
              <w:rPr>
                <w:rFonts w:hint="cs"/>
                <w:rtl/>
              </w:rPr>
              <w:t>שבע</w:t>
            </w:r>
            <w:r w:rsidR="00BF0203">
              <w:rPr>
                <w:rFonts w:hint="cs"/>
                <w:rtl/>
              </w:rPr>
              <w:t>ה חברים</w:t>
            </w:r>
            <w:r w:rsidR="00AA6BBE">
              <w:rPr>
                <w:rFonts w:hint="cs"/>
                <w:rtl/>
              </w:rPr>
              <w:t xml:space="preserve"> שימונו מקרב עובדי המדינה ומקרב הציבור</w:t>
            </w:r>
            <w:r w:rsidR="00255070">
              <w:rPr>
                <w:rFonts w:hint="cs"/>
                <w:rtl/>
              </w:rPr>
              <w:t xml:space="preserve"> ואלו הם</w:t>
            </w:r>
            <w:r w:rsidR="00171B80">
              <w:rPr>
                <w:rFonts w:hint="cs"/>
                <w:rtl/>
              </w:rPr>
              <w:t xml:space="preserve"> </w:t>
            </w:r>
            <w:r w:rsidR="00171B80">
              <w:rPr>
                <w:rFonts w:hint="eastAsia"/>
                <w:rtl/>
              </w:rPr>
              <w:t>–</w:t>
            </w:r>
            <w:r w:rsidR="00BF0203">
              <w:rPr>
                <w:rFonts w:hint="cs"/>
                <w:rtl/>
              </w:rPr>
              <w:t xml:space="preserve">  </w:t>
            </w:r>
          </w:p>
        </w:tc>
      </w:tr>
      <w:tr w:rsidR="00171B80" w14:paraId="6AC397DE" w14:textId="77777777" w:rsidTr="00FD44B6">
        <w:trPr>
          <w:cantSplit/>
          <w:trHeight w:val="60"/>
        </w:trPr>
        <w:tc>
          <w:tcPr>
            <w:tcW w:w="1870" w:type="dxa"/>
          </w:tcPr>
          <w:p w14:paraId="444AD9CF" w14:textId="77777777" w:rsidR="00171B80" w:rsidRDefault="00171B80">
            <w:pPr>
              <w:pStyle w:val="TableSideHeading"/>
            </w:pPr>
          </w:p>
        </w:tc>
        <w:tc>
          <w:tcPr>
            <w:tcW w:w="624" w:type="dxa"/>
          </w:tcPr>
          <w:p w14:paraId="0692AB33" w14:textId="77777777" w:rsidR="00171B80" w:rsidRDefault="00171B80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7EF07BA0" w14:textId="5C231B35" w:rsidR="00171B80" w:rsidRDefault="00171B80" w:rsidP="00171B80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נציג משרד האוצר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לפי המלצת שר האוצר, והוא יהיה יושב ראש המועצה;</w:t>
            </w:r>
          </w:p>
        </w:tc>
      </w:tr>
      <w:tr w:rsidR="00171B80" w14:paraId="4D921070" w14:textId="77777777" w:rsidTr="00E802E3">
        <w:trPr>
          <w:cantSplit/>
          <w:trHeight w:val="60"/>
        </w:trPr>
        <w:tc>
          <w:tcPr>
            <w:tcW w:w="1870" w:type="dxa"/>
          </w:tcPr>
          <w:p w14:paraId="091634D1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33F4FA56" w14:textId="77777777" w:rsidR="00171B80" w:rsidRDefault="00171B80" w:rsidP="00AA6BBE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72735508" w14:textId="08093896" w:rsidR="00171B80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נציג משרד המשפטים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לפי המלצת שר המשפטים;</w:t>
            </w:r>
          </w:p>
        </w:tc>
      </w:tr>
      <w:tr w:rsidR="00171B80" w14:paraId="66B9B207" w14:textId="77777777" w:rsidTr="0023716D">
        <w:trPr>
          <w:cantSplit/>
          <w:trHeight w:val="60"/>
        </w:trPr>
        <w:tc>
          <w:tcPr>
            <w:tcW w:w="1870" w:type="dxa"/>
          </w:tcPr>
          <w:p w14:paraId="302B2928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02D6A180" w14:textId="77777777" w:rsidR="00171B80" w:rsidRDefault="00171B80" w:rsidP="00AA6BBE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00CD8025" w14:textId="731D8398" w:rsidR="00171B80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נציג משרד התרבות והספורט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לפי המלצת שר התרבות והספורט;</w:t>
            </w:r>
          </w:p>
        </w:tc>
      </w:tr>
      <w:tr w:rsidR="00171B80" w14:paraId="7CC2B108" w14:textId="77777777" w:rsidTr="00614686">
        <w:trPr>
          <w:cantSplit/>
          <w:trHeight w:val="60"/>
        </w:trPr>
        <w:tc>
          <w:tcPr>
            <w:tcW w:w="1870" w:type="dxa"/>
          </w:tcPr>
          <w:p w14:paraId="3B93F82A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36A43B99" w14:textId="77777777" w:rsidR="00171B80" w:rsidRDefault="00171B80" w:rsidP="00AA6BBE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730AB4B0" w14:textId="46CE072C" w:rsidR="00171B80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(4)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נציג משרד העבודה, הרווחה והשירותים החברתיים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לפי המלצת שר העבודה, הרווחה והשירותים החברתיים;</w:t>
            </w:r>
          </w:p>
        </w:tc>
      </w:tr>
      <w:tr w:rsidR="00171B80" w14:paraId="2AFB13ED" w14:textId="77777777" w:rsidTr="00E71D30">
        <w:trPr>
          <w:cantSplit/>
          <w:trHeight w:val="60"/>
        </w:trPr>
        <w:tc>
          <w:tcPr>
            <w:tcW w:w="1870" w:type="dxa"/>
          </w:tcPr>
          <w:p w14:paraId="066051EB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38334F61" w14:textId="77777777" w:rsidR="00171B80" w:rsidRDefault="00171B80" w:rsidP="00AA6BBE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78D1FD9B" w14:textId="54556D05" w:rsidR="00171B80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(5)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נציג המשרד לביטחון הפנים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לפי המלצת השר לביטחון הפנים;</w:t>
            </w:r>
          </w:p>
        </w:tc>
      </w:tr>
      <w:tr w:rsidR="00171B80" w14:paraId="18E50588" w14:textId="77777777" w:rsidTr="004603C9">
        <w:trPr>
          <w:cantSplit/>
          <w:trHeight w:val="60"/>
        </w:trPr>
        <w:tc>
          <w:tcPr>
            <w:tcW w:w="1870" w:type="dxa"/>
          </w:tcPr>
          <w:p w14:paraId="2ED59057" w14:textId="77777777" w:rsidR="00171B80" w:rsidRDefault="00171B80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520F30BF" w14:textId="77777777" w:rsidR="00171B80" w:rsidRDefault="00171B80" w:rsidP="00AA6BBE">
            <w:pPr>
              <w:pStyle w:val="TableText"/>
            </w:pPr>
          </w:p>
        </w:tc>
        <w:tc>
          <w:tcPr>
            <w:tcW w:w="7144" w:type="dxa"/>
            <w:gridSpan w:val="2"/>
          </w:tcPr>
          <w:p w14:paraId="16E63752" w14:textId="3EC9287C" w:rsidR="00171B80" w:rsidRDefault="00171B80" w:rsidP="00171B8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(6)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שני מומחים בעלי השכלה גבוהה וניסיון מוכח בתחומים הנוגעים להתמכרויות ולטיפול בהם.</w:t>
            </w:r>
          </w:p>
        </w:tc>
      </w:tr>
      <w:tr w:rsidR="00931B24" w14:paraId="3369523C" w14:textId="77777777" w:rsidTr="00282F13">
        <w:trPr>
          <w:cantSplit/>
        </w:trPr>
        <w:tc>
          <w:tcPr>
            <w:tcW w:w="1870" w:type="dxa"/>
          </w:tcPr>
          <w:p w14:paraId="7D6E1B48" w14:textId="2F79BEE4" w:rsidR="00931B24" w:rsidRDefault="00706FD1" w:rsidP="00DA19C3">
            <w:pPr>
              <w:pStyle w:val="TableSideHeading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תפקידי המועצה</w:t>
            </w:r>
          </w:p>
        </w:tc>
        <w:tc>
          <w:tcPr>
            <w:tcW w:w="624" w:type="dxa"/>
          </w:tcPr>
          <w:p w14:paraId="0419A427" w14:textId="0FB5DB02" w:rsidR="00931B24" w:rsidRDefault="00706FD1" w:rsidP="00931B2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7144" w:type="dxa"/>
            <w:gridSpan w:val="2"/>
          </w:tcPr>
          <w:p w14:paraId="66BB1D8B" w14:textId="67FD09BE" w:rsidR="00931B24" w:rsidRPr="00206286" w:rsidRDefault="00706FD1" w:rsidP="0020628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המועצה תייעץ לממונה בכל הנוגע להפעלת סמכויותיו בה</w:t>
            </w:r>
            <w:r w:rsidR="00C80556">
              <w:rPr>
                <w:rFonts w:hint="cs"/>
                <w:rtl/>
              </w:rPr>
              <w:t xml:space="preserve">תאם להוראות לפי חוק זה. </w:t>
            </w:r>
          </w:p>
        </w:tc>
      </w:tr>
    </w:tbl>
    <w:p w14:paraId="01093F25" w14:textId="77777777" w:rsidR="00A13DA4" w:rsidRDefault="00A13DA4" w:rsidP="00A13DA4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5AC82A02" w14:textId="2CE6A88D" w:rsidR="00A13DA4" w:rsidRDefault="00A13DA4" w:rsidP="00171B80">
      <w:pPr>
        <w:spacing w:line="360" w:lineRule="auto"/>
        <w:rPr>
          <w:rFonts w:ascii="Arial" w:eastAsia="Arial Unicode MS" w:hAnsi="Arial" w:cs="David"/>
          <w:spacing w:val="0"/>
          <w:sz w:val="20"/>
          <w:szCs w:val="26"/>
          <w:rtl/>
        </w:rPr>
      </w:pP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>הימורים הם תופעה חברתית רבת שנים. בשנים האחרונות התופעה הולכת ומתרחבת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>.</w:t>
      </w:r>
      <w:r w:rsidRPr="00CD3074">
        <w:rPr>
          <w:rFonts w:ascii="Arial" w:eastAsia="Arial Unicode MS" w:hAnsi="Arial" w:cs="David"/>
          <w:spacing w:val="0"/>
          <w:sz w:val="20"/>
          <w:szCs w:val="26"/>
        </w:rPr>
        <w:t xml:space="preserve"> 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>גם בישר</w:t>
      </w:r>
      <w:r>
        <w:rPr>
          <w:rFonts w:ascii="Arial" w:eastAsia="Arial Unicode MS" w:hAnsi="Arial" w:cs="David"/>
          <w:spacing w:val="0"/>
          <w:sz w:val="20"/>
          <w:szCs w:val="26"/>
          <w:rtl/>
        </w:rPr>
        <w:t>אל התרחבו ההימורים בשני העשורים</w:t>
      </w:r>
      <w:r w:rsidRPr="00CD3074">
        <w:rPr>
          <w:rFonts w:ascii="Arial" w:eastAsia="Arial Unicode MS" w:hAnsi="Arial" w:cs="David"/>
          <w:spacing w:val="0"/>
          <w:sz w:val="20"/>
          <w:szCs w:val="26"/>
        </w:rPr>
        <w:t xml:space="preserve"> 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 xml:space="preserve">האחרונים וכיום שני 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>מפעילי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 xml:space="preserve"> ההימורים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 החוקיים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 xml:space="preserve"> – מפעל הפיס והמועצה להסדר הימורים בספורט </w:t>
      </w:r>
      <w:r w:rsidRPr="00CD3074">
        <w:rPr>
          <w:rFonts w:ascii="Arial" w:eastAsia="Arial Unicode MS" w:hAnsi="Arial" w:cs="David"/>
          <w:spacing w:val="0"/>
          <w:sz w:val="20"/>
          <w:szCs w:val="26"/>
        </w:rPr>
        <w:t xml:space="preserve"> 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>מציעים לציבור מגוון רחב של מוצרי הימורים</w:t>
      </w:r>
      <w:r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. </w:t>
      </w:r>
      <w:r w:rsidRPr="00D63957">
        <w:rPr>
          <w:rFonts w:ascii="Arial" w:eastAsia="Arial Unicode MS" w:hAnsi="Arial" w:cs="David"/>
          <w:spacing w:val="0"/>
          <w:sz w:val="20"/>
          <w:szCs w:val="26"/>
          <w:rtl/>
        </w:rPr>
        <w:t>בצד מתן האפשרות לאדם להמר, ככל שזו ניתנת, עומדת חובה חברתית לוודא כי ההימור יסופק באופן מפוקח ומבוקר, אשר לא יעודד פ</w:t>
      </w:r>
      <w:r w:rsidR="00171B80">
        <w:rPr>
          <w:rFonts w:ascii="Arial" w:eastAsia="Arial Unicode MS" w:hAnsi="Arial" w:cs="David"/>
          <w:spacing w:val="0"/>
          <w:sz w:val="20"/>
          <w:szCs w:val="26"/>
          <w:rtl/>
        </w:rPr>
        <w:t>עילות הימורים מופר</w:t>
      </w:r>
      <w:r w:rsidR="00171B80"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זת. </w:t>
      </w:r>
      <w:r w:rsidRPr="00D63957">
        <w:rPr>
          <w:rFonts w:ascii="Arial" w:eastAsia="Arial Unicode MS" w:hAnsi="Arial" w:cs="David"/>
          <w:spacing w:val="0"/>
          <w:sz w:val="20"/>
          <w:szCs w:val="26"/>
          <w:rtl/>
        </w:rPr>
        <w:t>לא יחשוף יתר על המידה אוכלוסיות רגישות להתמכרות, יצמצם את סכנת ההתמכרות להימורים בחברה הישראלית ויבטיח טיפול מתאים במתמכרים</w:t>
      </w:r>
      <w:r>
        <w:rPr>
          <w:rFonts w:ascii="Arial" w:eastAsia="Arial Unicode MS" w:hAnsi="Arial" w:cs="David" w:hint="cs"/>
          <w:spacing w:val="0"/>
          <w:sz w:val="20"/>
          <w:szCs w:val="26"/>
          <w:rtl/>
        </w:rPr>
        <w:t>.</w:t>
      </w:r>
    </w:p>
    <w:p w14:paraId="4C007814" w14:textId="77FC0132" w:rsidR="00A13DA4" w:rsidRDefault="00A13DA4" w:rsidP="00171B80">
      <w:pPr>
        <w:spacing w:line="360" w:lineRule="auto"/>
        <w:rPr>
          <w:rFonts w:ascii="Arial" w:eastAsia="Arial Unicode MS" w:hAnsi="Arial" w:cs="David"/>
          <w:spacing w:val="0"/>
          <w:sz w:val="20"/>
          <w:szCs w:val="26"/>
          <w:rtl/>
        </w:rPr>
      </w:pPr>
      <w:r w:rsidRPr="007A6266"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הצעת החוק </w:t>
      </w:r>
      <w:r w:rsidR="00171B80">
        <w:rPr>
          <w:rFonts w:ascii="Arial" w:eastAsia="Arial Unicode MS" w:hAnsi="Arial" w:cs="David" w:hint="cs"/>
          <w:spacing w:val="0"/>
          <w:sz w:val="20"/>
          <w:szCs w:val="26"/>
          <w:rtl/>
        </w:rPr>
        <w:t>נועדה</w:t>
      </w:r>
      <w:r w:rsidRPr="007A6266"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 להקים</w:t>
      </w:r>
      <w:r w:rsidRPr="007A6266">
        <w:rPr>
          <w:rFonts w:ascii="Arial" w:eastAsia="Arial Unicode MS" w:hAnsi="Arial" w:cs="David"/>
          <w:spacing w:val="0"/>
          <w:sz w:val="20"/>
          <w:szCs w:val="26"/>
          <w:rtl/>
        </w:rPr>
        <w:t xml:space="preserve"> 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>גוף אשר יפקח ויסדיר את פעילות</w:t>
      </w:r>
      <w:r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 ההימורים בישראל 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>ו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 xml:space="preserve">אשר 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תהיה 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>לו  ראי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ה כוללת ורחבה של כל 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>תחום ההימורים החוקיים בישראל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>. גוף זה י</w:t>
      </w:r>
      <w:r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פקח </w:t>
      </w:r>
      <w:r w:rsidRPr="007A6266">
        <w:rPr>
          <w:rFonts w:ascii="Arial" w:eastAsia="Arial Unicode MS" w:hAnsi="Arial" w:cs="David"/>
          <w:spacing w:val="0"/>
          <w:sz w:val="20"/>
          <w:szCs w:val="26"/>
          <w:rtl/>
        </w:rPr>
        <w:t>באופן שוטף על פעילות הגופים המורשים לארגן את ההימורים החוקיים, על קביעת נהלים והנחיות לבחירת הזכיינים או המפיצים מטעמם, על תכניות ההימורים החוקיות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>, על הפרסום של תכניות ההימורים</w:t>
      </w:r>
      <w:r w:rsidRPr="007A6266">
        <w:rPr>
          <w:rFonts w:ascii="Arial" w:eastAsia="Arial Unicode MS" w:hAnsi="Arial" w:cs="David"/>
          <w:spacing w:val="0"/>
          <w:sz w:val="20"/>
          <w:szCs w:val="26"/>
          <w:rtl/>
        </w:rPr>
        <w:t xml:space="preserve"> ועל יישום תנאים והגבלות החלים על תכניות ההימורים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. מטרתו של הגוף החדש היא  </w:t>
      </w:r>
      <w:r w:rsidRPr="007A6266">
        <w:rPr>
          <w:rFonts w:ascii="Arial" w:eastAsia="Arial Unicode MS" w:hAnsi="Arial" w:cs="David"/>
          <w:spacing w:val="0"/>
          <w:sz w:val="20"/>
          <w:szCs w:val="26"/>
          <w:rtl/>
        </w:rPr>
        <w:t xml:space="preserve">לצמצם חשיפה להימורים, 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לצמצם </w:t>
      </w:r>
      <w:r w:rsidR="00D50AAA">
        <w:rPr>
          <w:rFonts w:ascii="Arial" w:eastAsia="Arial Unicode MS" w:hAnsi="Arial" w:cs="David"/>
          <w:spacing w:val="0"/>
          <w:sz w:val="20"/>
          <w:szCs w:val="26"/>
          <w:rtl/>
        </w:rPr>
        <w:t>את תופעת ההתמכרות להימורים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 ואת </w:t>
      </w:r>
      <w:r w:rsidRPr="007A6266">
        <w:rPr>
          <w:rFonts w:ascii="Arial" w:eastAsia="Arial Unicode MS" w:hAnsi="Arial" w:cs="David"/>
          <w:spacing w:val="0"/>
          <w:sz w:val="20"/>
          <w:szCs w:val="26"/>
          <w:rtl/>
        </w:rPr>
        <w:t>סיכוני הפשיעה הנלוו</w:t>
      </w:r>
      <w:r w:rsidR="00D50AAA">
        <w:rPr>
          <w:rFonts w:ascii="Arial" w:eastAsia="Arial Unicode MS" w:hAnsi="Arial" w:cs="David" w:hint="cs"/>
          <w:spacing w:val="0"/>
          <w:sz w:val="20"/>
          <w:szCs w:val="26"/>
          <w:rtl/>
        </w:rPr>
        <w:t>ים</w:t>
      </w:r>
      <w:r w:rsidRPr="007A6266">
        <w:rPr>
          <w:rFonts w:ascii="Arial" w:eastAsia="Arial Unicode MS" w:hAnsi="Arial" w:cs="David"/>
          <w:spacing w:val="0"/>
          <w:sz w:val="20"/>
          <w:szCs w:val="26"/>
          <w:rtl/>
        </w:rPr>
        <w:t xml:space="preserve"> להימורים ובכלל זה חדירת גורמים עבריינים לתחום ההימורים החוקיים</w:t>
      </w:r>
      <w:r w:rsidRPr="007A6266">
        <w:rPr>
          <w:rFonts w:ascii="Arial" w:eastAsia="Arial Unicode MS" w:hAnsi="Arial" w:cs="David"/>
          <w:spacing w:val="0"/>
          <w:sz w:val="20"/>
          <w:szCs w:val="26"/>
        </w:rPr>
        <w:t xml:space="preserve"> </w:t>
      </w:r>
      <w:r w:rsidRPr="007A6266">
        <w:rPr>
          <w:rFonts w:ascii="Arial" w:eastAsia="Arial Unicode MS" w:hAnsi="Arial" w:cs="David"/>
          <w:spacing w:val="0"/>
          <w:sz w:val="20"/>
          <w:szCs w:val="26"/>
          <w:rtl/>
        </w:rPr>
        <w:t>ושימוש בהימורים החוקיים לפעילות עבריינית לרבות הלבנת הון</w:t>
      </w:r>
      <w:r>
        <w:rPr>
          <w:rFonts w:ascii="Arial" w:eastAsia="Arial Unicode MS" w:hAnsi="Arial" w:cs="David" w:hint="cs"/>
          <w:spacing w:val="0"/>
          <w:sz w:val="20"/>
          <w:szCs w:val="26"/>
          <w:rtl/>
        </w:rPr>
        <w:t xml:space="preserve">. </w:t>
      </w:r>
    </w:p>
    <w:p w14:paraId="490B650A" w14:textId="23782B08" w:rsidR="00A13DA4" w:rsidRPr="00CD3074" w:rsidRDefault="00A13DA4" w:rsidP="00D50AAA">
      <w:pPr>
        <w:spacing w:line="360" w:lineRule="auto"/>
        <w:rPr>
          <w:rFonts w:ascii="Arial" w:eastAsia="Arial Unicode MS" w:hAnsi="Arial" w:cs="David"/>
          <w:spacing w:val="0"/>
          <w:sz w:val="20"/>
          <w:szCs w:val="26"/>
          <w:rtl/>
        </w:rPr>
      </w:pP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>מוצע כי הגוף הרגולטורי הייע</w:t>
      </w:r>
      <w:r w:rsidRPr="00CD3074">
        <w:rPr>
          <w:rFonts w:ascii="Arial" w:eastAsia="Arial Unicode MS" w:hAnsi="Arial" w:cs="David" w:hint="cs"/>
          <w:spacing w:val="0"/>
          <w:sz w:val="20"/>
          <w:szCs w:val="26"/>
          <w:rtl/>
        </w:rPr>
        <w:t>ודי</w:t>
      </w:r>
      <w:r w:rsidRPr="00CD3074">
        <w:rPr>
          <w:rFonts w:ascii="Arial" w:eastAsia="Arial Unicode MS" w:hAnsi="Arial" w:cs="David"/>
          <w:spacing w:val="0"/>
          <w:sz w:val="20"/>
          <w:szCs w:val="26"/>
        </w:rPr>
        <w:t xml:space="preserve"> 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>יוסמך לעסוק בהסדרה הנדרשת לפעילויות נוספות בתחום ההימורים החוקיים</w:t>
      </w:r>
      <w:r w:rsidRPr="00CD3074">
        <w:rPr>
          <w:rFonts w:ascii="Arial" w:eastAsia="Arial Unicode MS" w:hAnsi="Arial" w:cs="David"/>
          <w:spacing w:val="0"/>
          <w:sz w:val="20"/>
          <w:szCs w:val="26"/>
        </w:rPr>
        <w:t xml:space="preserve"> </w:t>
      </w:r>
      <w:r w:rsidRPr="00CD3074">
        <w:rPr>
          <w:rFonts w:ascii="Arial" w:eastAsia="Arial Unicode MS" w:hAnsi="Arial" w:cs="David"/>
          <w:spacing w:val="0"/>
          <w:sz w:val="20"/>
          <w:szCs w:val="26"/>
          <w:rtl/>
        </w:rPr>
        <w:t xml:space="preserve">ובכלל זאת לעסוק במתן היתרים לעריכת הגרלות, </w:t>
      </w:r>
      <w:r>
        <w:rPr>
          <w:rFonts w:ascii="Arial" w:eastAsia="Arial Unicode MS" w:hAnsi="Arial" w:cs="David" w:hint="cs"/>
          <w:spacing w:val="0"/>
          <w:sz w:val="20"/>
          <w:szCs w:val="26"/>
          <w:rtl/>
        </w:rPr>
        <w:t>ב</w:t>
      </w:r>
      <w:r w:rsidRPr="00A92E64">
        <w:rPr>
          <w:rFonts w:ascii="Arial" w:eastAsia="Arial Unicode MS" w:hAnsi="Arial" w:cs="David"/>
          <w:spacing w:val="0"/>
          <w:sz w:val="20"/>
          <w:szCs w:val="26"/>
          <w:rtl/>
        </w:rPr>
        <w:t xml:space="preserve">מניעת חשיפת יתר להימורים, </w:t>
      </w:r>
      <w:r w:rsidRPr="00A92E64">
        <w:rPr>
          <w:rFonts w:ascii="Arial" w:eastAsia="Arial Unicode MS" w:hAnsi="Arial" w:cs="David" w:hint="cs"/>
          <w:spacing w:val="0"/>
          <w:sz w:val="20"/>
          <w:szCs w:val="26"/>
          <w:rtl/>
        </w:rPr>
        <w:t>ב</w:t>
      </w:r>
      <w:r w:rsidRPr="00A92E64">
        <w:rPr>
          <w:rFonts w:ascii="Arial" w:eastAsia="Arial Unicode MS" w:hAnsi="Arial" w:cs="David"/>
          <w:spacing w:val="0"/>
          <w:sz w:val="20"/>
          <w:szCs w:val="26"/>
          <w:rtl/>
        </w:rPr>
        <w:t xml:space="preserve">צמצום התמכרויות, </w:t>
      </w:r>
      <w:r w:rsidRPr="00A92E64">
        <w:rPr>
          <w:rFonts w:ascii="Arial" w:eastAsia="Arial Unicode MS" w:hAnsi="Arial" w:cs="David" w:hint="cs"/>
          <w:spacing w:val="0"/>
          <w:sz w:val="20"/>
          <w:szCs w:val="26"/>
          <w:rtl/>
        </w:rPr>
        <w:t>ב</w:t>
      </w:r>
      <w:r w:rsidRPr="00A92E64">
        <w:rPr>
          <w:rFonts w:ascii="Arial" w:eastAsia="Arial Unicode MS" w:hAnsi="Arial" w:cs="David"/>
          <w:spacing w:val="0"/>
          <w:sz w:val="20"/>
          <w:szCs w:val="26"/>
          <w:rtl/>
        </w:rPr>
        <w:t xml:space="preserve">פרסום ושיווק הימורים, </w:t>
      </w:r>
      <w:r w:rsidRPr="00A92E64">
        <w:rPr>
          <w:rFonts w:ascii="Arial" w:eastAsia="Arial Unicode MS" w:hAnsi="Arial" w:cs="David" w:hint="cs"/>
          <w:spacing w:val="0"/>
          <w:sz w:val="20"/>
          <w:szCs w:val="26"/>
          <w:rtl/>
        </w:rPr>
        <w:t>ב</w:t>
      </w:r>
      <w:r w:rsidRPr="00A92E64">
        <w:rPr>
          <w:rFonts w:ascii="Arial" w:eastAsia="Arial Unicode MS" w:hAnsi="Arial" w:cs="David"/>
          <w:spacing w:val="0"/>
          <w:sz w:val="20"/>
          <w:szCs w:val="26"/>
          <w:rtl/>
        </w:rPr>
        <w:t xml:space="preserve">מניעת הלבנת הון, </w:t>
      </w:r>
      <w:r w:rsidRPr="00A92E64">
        <w:rPr>
          <w:rFonts w:ascii="Arial" w:eastAsia="Arial Unicode MS" w:hAnsi="Arial" w:cs="David" w:hint="cs"/>
          <w:spacing w:val="0"/>
          <w:sz w:val="20"/>
          <w:szCs w:val="26"/>
          <w:rtl/>
        </w:rPr>
        <w:t>ו</w:t>
      </w:r>
      <w:r w:rsidRPr="00A92E64">
        <w:rPr>
          <w:rFonts w:ascii="Arial" w:eastAsia="Arial Unicode MS" w:hAnsi="Arial" w:cs="David"/>
          <w:spacing w:val="0"/>
          <w:sz w:val="20"/>
          <w:szCs w:val="26"/>
          <w:rtl/>
        </w:rPr>
        <w:t>בחינת עבר פלילי של עוסקים בתחום והיבטים תאגידיים של פעילות הגופים</w:t>
      </w:r>
      <w:r>
        <w:rPr>
          <w:rFonts w:ascii="Arial" w:eastAsia="Arial Unicode MS" w:hAnsi="Arial" w:cs="David" w:hint="cs"/>
          <w:spacing w:val="0"/>
          <w:sz w:val="20"/>
          <w:szCs w:val="26"/>
          <w:rtl/>
        </w:rPr>
        <w:t>.</w:t>
      </w:r>
    </w:p>
    <w:p w14:paraId="55301F4D" w14:textId="77777777" w:rsidR="00A13DA4" w:rsidRDefault="00A13DA4" w:rsidP="00A13DA4">
      <w:pPr>
        <w:pStyle w:val="Hesber"/>
        <w:rPr>
          <w:rtl/>
        </w:rPr>
      </w:pPr>
    </w:p>
    <w:p w14:paraId="34D94DE5" w14:textId="77777777" w:rsidR="00171B80" w:rsidRPr="00171B80" w:rsidRDefault="00171B80" w:rsidP="00171B80">
      <w:pPr>
        <w:rPr>
          <w:rFonts w:ascii="Arial" w:eastAsia="Arial Unicode MS" w:hAnsi="Arial" w:cs="David"/>
          <w:spacing w:val="0"/>
          <w:sz w:val="20"/>
          <w:szCs w:val="26"/>
          <w:rtl/>
        </w:rPr>
      </w:pPr>
      <w:r w:rsidRPr="00171B80">
        <w:rPr>
          <w:rFonts w:ascii="Arial" w:eastAsia="Arial Unicode MS" w:hAnsi="Arial" w:cs="David"/>
          <w:spacing w:val="0"/>
          <w:sz w:val="20"/>
          <w:szCs w:val="26"/>
          <w:rtl/>
        </w:rPr>
        <w:t>---------------------------------</w:t>
      </w:r>
    </w:p>
    <w:p w14:paraId="0F8E1D37" w14:textId="77777777" w:rsidR="00171B80" w:rsidRPr="00171B80" w:rsidRDefault="00171B80" w:rsidP="00171B80">
      <w:pPr>
        <w:rPr>
          <w:rFonts w:ascii="Arial" w:eastAsia="Arial Unicode MS" w:hAnsi="Arial" w:cs="David"/>
          <w:spacing w:val="0"/>
          <w:sz w:val="20"/>
          <w:szCs w:val="26"/>
          <w:rtl/>
        </w:rPr>
      </w:pPr>
      <w:r w:rsidRPr="00171B80">
        <w:rPr>
          <w:rFonts w:ascii="Arial" w:eastAsia="Arial Unicode MS" w:hAnsi="Arial" w:cs="David"/>
          <w:spacing w:val="0"/>
          <w:sz w:val="20"/>
          <w:szCs w:val="26"/>
          <w:rtl/>
        </w:rPr>
        <w:t>הוגשה ליו"ר הכנסת והסגנים</w:t>
      </w:r>
    </w:p>
    <w:p w14:paraId="5A038458" w14:textId="77777777" w:rsidR="00171B80" w:rsidRPr="00171B80" w:rsidRDefault="00171B80" w:rsidP="00171B80">
      <w:pPr>
        <w:rPr>
          <w:rFonts w:ascii="Arial" w:eastAsia="Arial Unicode MS" w:hAnsi="Arial" w:cs="David"/>
          <w:spacing w:val="0"/>
          <w:sz w:val="20"/>
          <w:szCs w:val="26"/>
          <w:rtl/>
        </w:rPr>
      </w:pPr>
      <w:r w:rsidRPr="00171B80">
        <w:rPr>
          <w:rFonts w:ascii="Arial" w:eastAsia="Arial Unicode MS" w:hAnsi="Arial" w:cs="David"/>
          <w:spacing w:val="0"/>
          <w:sz w:val="20"/>
          <w:szCs w:val="26"/>
          <w:rtl/>
        </w:rPr>
        <w:t>והונחה על שולחן הכנסת ביום</w:t>
      </w:r>
    </w:p>
    <w:p w14:paraId="7F6961CB" w14:textId="53F91B1B" w:rsidR="00E13C27" w:rsidRPr="00171B80" w:rsidRDefault="00171B80" w:rsidP="00171B80">
      <w:pPr>
        <w:rPr>
          <w:rFonts w:ascii="Arial" w:eastAsia="Arial Unicode MS" w:hAnsi="Arial" w:cs="David"/>
          <w:spacing w:val="0"/>
          <w:sz w:val="20"/>
          <w:szCs w:val="26"/>
          <w:rtl/>
        </w:rPr>
      </w:pPr>
      <w:r w:rsidRPr="00171B80">
        <w:rPr>
          <w:rFonts w:ascii="Arial" w:eastAsia="Arial Unicode MS" w:hAnsi="Arial" w:cs="David"/>
          <w:spacing w:val="0"/>
          <w:sz w:val="20"/>
          <w:szCs w:val="26"/>
          <w:rtl/>
        </w:rPr>
        <w:t>כ"ב באדר התשע"ז - 20.3.17</w:t>
      </w:r>
      <w:bookmarkStart w:id="5" w:name="_GoBack"/>
      <w:bookmarkEnd w:id="5"/>
    </w:p>
    <w:sectPr w:rsidR="00E13C27" w:rsidRPr="00171B80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171B80">
      <w:rPr>
        <w:rStyle w:val="aa"/>
        <w:noProof/>
        <w:rtl/>
      </w:rPr>
      <w:t>3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70247614" w14:textId="77777777" w:rsidR="0055782C" w:rsidRDefault="0055782C" w:rsidP="0055782C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התשל"ז, עמ' 226.</w:t>
      </w:r>
    </w:p>
  </w:footnote>
  <w:footnote w:id="3">
    <w:p w14:paraId="5FB8DA5E" w14:textId="54987366" w:rsidR="0055782C" w:rsidRDefault="0055782C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התשכ"ז, עמ' 142.</w:t>
      </w:r>
    </w:p>
  </w:footnote>
  <w:footnote w:id="4">
    <w:p w14:paraId="6B5C544D" w14:textId="5F4FAD33" w:rsidR="00171B80" w:rsidRDefault="00171B80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התש"ס, עמ' 293.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F06C2"/>
    <w:multiLevelType w:val="hybridMultilevel"/>
    <w:tmpl w:val="AC06F086"/>
    <w:lvl w:ilvl="0" w:tplc="794E0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74BC0"/>
    <w:multiLevelType w:val="hybridMultilevel"/>
    <w:tmpl w:val="F0520D7A"/>
    <w:lvl w:ilvl="0" w:tplc="41B40F0E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6DBB"/>
    <w:multiLevelType w:val="hybridMultilevel"/>
    <w:tmpl w:val="AC06F086"/>
    <w:lvl w:ilvl="0" w:tplc="794E0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42A1F"/>
    <w:multiLevelType w:val="hybridMultilevel"/>
    <w:tmpl w:val="36944BD8"/>
    <w:lvl w:ilvl="0" w:tplc="61161DBC">
      <w:start w:val="1"/>
      <w:numFmt w:val="hebrew1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1"/>
  </w:num>
  <w:num w:numId="14">
    <w:abstractNumId w:val="17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2CC7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71B80"/>
    <w:rsid w:val="001A0623"/>
    <w:rsid w:val="001C1D7A"/>
    <w:rsid w:val="001C23B0"/>
    <w:rsid w:val="001D7AAF"/>
    <w:rsid w:val="001F51AF"/>
    <w:rsid w:val="00203A7F"/>
    <w:rsid w:val="00206286"/>
    <w:rsid w:val="0021633A"/>
    <w:rsid w:val="002200A1"/>
    <w:rsid w:val="002362BF"/>
    <w:rsid w:val="00241B97"/>
    <w:rsid w:val="002425D1"/>
    <w:rsid w:val="00246756"/>
    <w:rsid w:val="00250910"/>
    <w:rsid w:val="00251E58"/>
    <w:rsid w:val="00254605"/>
    <w:rsid w:val="00255070"/>
    <w:rsid w:val="00266D86"/>
    <w:rsid w:val="002728B4"/>
    <w:rsid w:val="0027600C"/>
    <w:rsid w:val="00281D2A"/>
    <w:rsid w:val="002823D1"/>
    <w:rsid w:val="00282F13"/>
    <w:rsid w:val="00292712"/>
    <w:rsid w:val="002A487D"/>
    <w:rsid w:val="002C2E29"/>
    <w:rsid w:val="002C3041"/>
    <w:rsid w:val="002D1EE3"/>
    <w:rsid w:val="002F1D80"/>
    <w:rsid w:val="003011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5782C"/>
    <w:rsid w:val="00562A66"/>
    <w:rsid w:val="005B064E"/>
    <w:rsid w:val="005D51AE"/>
    <w:rsid w:val="0062674B"/>
    <w:rsid w:val="006363B2"/>
    <w:rsid w:val="00644940"/>
    <w:rsid w:val="00644EAD"/>
    <w:rsid w:val="006818A9"/>
    <w:rsid w:val="006A2D81"/>
    <w:rsid w:val="006C1D0D"/>
    <w:rsid w:val="0070601E"/>
    <w:rsid w:val="00706FD1"/>
    <w:rsid w:val="0071294E"/>
    <w:rsid w:val="00712C72"/>
    <w:rsid w:val="00735C9B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0C68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57FA"/>
    <w:rsid w:val="008F6665"/>
    <w:rsid w:val="00904591"/>
    <w:rsid w:val="00905E5F"/>
    <w:rsid w:val="0091204F"/>
    <w:rsid w:val="009203DB"/>
    <w:rsid w:val="00923CD4"/>
    <w:rsid w:val="00930EFE"/>
    <w:rsid w:val="00931B24"/>
    <w:rsid w:val="00943386"/>
    <w:rsid w:val="009456B6"/>
    <w:rsid w:val="00957589"/>
    <w:rsid w:val="00966D06"/>
    <w:rsid w:val="00982412"/>
    <w:rsid w:val="00983A8D"/>
    <w:rsid w:val="00993656"/>
    <w:rsid w:val="009A0DB8"/>
    <w:rsid w:val="009A7257"/>
    <w:rsid w:val="009D6E0A"/>
    <w:rsid w:val="009E1E33"/>
    <w:rsid w:val="00A13DA4"/>
    <w:rsid w:val="00A14672"/>
    <w:rsid w:val="00A26BD6"/>
    <w:rsid w:val="00A443CF"/>
    <w:rsid w:val="00A47E4F"/>
    <w:rsid w:val="00A6611D"/>
    <w:rsid w:val="00A82CB7"/>
    <w:rsid w:val="00A942C1"/>
    <w:rsid w:val="00AA2F03"/>
    <w:rsid w:val="00AA6BBE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0203"/>
    <w:rsid w:val="00BF148D"/>
    <w:rsid w:val="00C023A1"/>
    <w:rsid w:val="00C23B1A"/>
    <w:rsid w:val="00C310EB"/>
    <w:rsid w:val="00C80556"/>
    <w:rsid w:val="00C9176A"/>
    <w:rsid w:val="00CA4ECF"/>
    <w:rsid w:val="00CF1AA2"/>
    <w:rsid w:val="00D17774"/>
    <w:rsid w:val="00D46D76"/>
    <w:rsid w:val="00D50AAA"/>
    <w:rsid w:val="00D63620"/>
    <w:rsid w:val="00D8410D"/>
    <w:rsid w:val="00D867D7"/>
    <w:rsid w:val="00DA19C3"/>
    <w:rsid w:val="00DB7060"/>
    <w:rsid w:val="00DE3153"/>
    <w:rsid w:val="00E06736"/>
    <w:rsid w:val="00E13C27"/>
    <w:rsid w:val="00E33BBD"/>
    <w:rsid w:val="00E374F2"/>
    <w:rsid w:val="00E45103"/>
    <w:rsid w:val="00E524FE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86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206286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206286"/>
    <w:rPr>
      <w:sz w:val="36"/>
      <w:szCs w:val="52"/>
    </w:rPr>
  </w:style>
  <w:style w:type="paragraph" w:customStyle="1" w:styleId="Cover3-Haknesset">
    <w:name w:val="Cover 3-Haknesset"/>
    <w:basedOn w:val="Cover1-Reshumot"/>
    <w:rsid w:val="00206286"/>
    <w:rPr>
      <w:b/>
      <w:bCs/>
      <w:spacing w:val="60"/>
    </w:rPr>
  </w:style>
  <w:style w:type="paragraph" w:customStyle="1" w:styleId="Cover4-Date">
    <w:name w:val="Cover 4-Date"/>
    <w:basedOn w:val="a"/>
    <w:rsid w:val="00206286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206286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206286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206286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20628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206286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206286"/>
  </w:style>
  <w:style w:type="paragraph" w:customStyle="1" w:styleId="TableBlock">
    <w:name w:val="Table Block"/>
    <w:basedOn w:val="TableText"/>
    <w:rsid w:val="00206286"/>
    <w:pPr>
      <w:ind w:right="0"/>
      <w:jc w:val="both"/>
    </w:pPr>
  </w:style>
  <w:style w:type="paragraph" w:customStyle="1" w:styleId="TableHead">
    <w:name w:val="Table Head"/>
    <w:basedOn w:val="TableText"/>
    <w:rsid w:val="0020628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206286"/>
  </w:style>
  <w:style w:type="paragraph" w:customStyle="1" w:styleId="Hesber">
    <w:name w:val="Hesber"/>
    <w:basedOn w:val="a"/>
    <w:rsid w:val="00206286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206286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206286"/>
    <w:rPr>
      <w:vertAlign w:val="superscript"/>
    </w:rPr>
  </w:style>
  <w:style w:type="paragraph" w:customStyle="1" w:styleId="HesberHeading">
    <w:name w:val="Hesber Heading"/>
    <w:basedOn w:val="Hesber"/>
    <w:rsid w:val="00206286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20628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206286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206286"/>
    <w:rPr>
      <w:vertAlign w:val="superscript"/>
    </w:rPr>
  </w:style>
  <w:style w:type="paragraph" w:customStyle="1" w:styleId="TableBlockOutdent">
    <w:name w:val="Table BlockOutdent"/>
    <w:basedOn w:val="TableBlock"/>
    <w:rsid w:val="00206286"/>
    <w:pPr>
      <w:ind w:left="624" w:hanging="624"/>
    </w:pPr>
  </w:style>
  <w:style w:type="paragraph" w:styleId="a7">
    <w:name w:val="header"/>
    <w:basedOn w:val="a"/>
    <w:rsid w:val="00206286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0628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206286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206286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206286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styleId="ad">
    <w:name w:val="annotation reference"/>
    <w:basedOn w:val="a0"/>
    <w:semiHidden/>
    <w:unhideWhenUsed/>
    <w:rsid w:val="00DA19C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DA19C3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semiHidden/>
    <w:rsid w:val="00DA19C3"/>
    <w:rPr>
      <w:rFonts w:ascii="Hadasa Roso SL" w:hAnsi="Hadasa Roso SL" w:cs="Hadasa Roso SL"/>
      <w:color w:val="000000"/>
      <w:spacing w:val="1"/>
      <w:lang w:eastAsia="ja-JP"/>
    </w:rPr>
  </w:style>
  <w:style w:type="paragraph" w:styleId="af0">
    <w:name w:val="annotation subject"/>
    <w:basedOn w:val="ae"/>
    <w:next w:val="ae"/>
    <w:link w:val="af1"/>
    <w:semiHidden/>
    <w:unhideWhenUsed/>
    <w:rsid w:val="00DA19C3"/>
    <w:rPr>
      <w:b/>
      <w:bCs/>
    </w:rPr>
  </w:style>
  <w:style w:type="character" w:customStyle="1" w:styleId="af1">
    <w:name w:val="נושא הערה תו"/>
    <w:basedOn w:val="af"/>
    <w:link w:val="af0"/>
    <w:semiHidden/>
    <w:rsid w:val="00DA19C3"/>
    <w:rPr>
      <w:rFonts w:ascii="Hadasa Roso SL" w:hAnsi="Hadasa Roso SL" w:cs="Hadasa Roso SL"/>
      <w:b/>
      <w:bCs/>
      <w:color w:val="000000"/>
      <w:spacing w:val="1"/>
      <w:lang w:eastAsia="ja-JP"/>
    </w:rPr>
  </w:style>
  <w:style w:type="paragraph" w:styleId="af2">
    <w:name w:val="Revision"/>
    <w:hidden/>
    <w:uiPriority w:val="99"/>
    <w:semiHidden/>
    <w:rsid w:val="00DA19C3"/>
    <w:rPr>
      <w:rFonts w:ascii="Hadasa Roso SL" w:hAnsi="Hadasa Roso SL" w:cs="Hadasa Roso SL"/>
      <w:color w:val="000000"/>
      <w:spacing w:val="1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215B-29F7-4159-8C55-5D0D73F93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2E990-37F1-48DD-A9FB-55C949B0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733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21</cp:revision>
  <cp:lastPrinted>2017-03-16T10:53:00Z</cp:lastPrinted>
  <dcterms:created xsi:type="dcterms:W3CDTF">2015-04-20T09:58:00Z</dcterms:created>
  <dcterms:modified xsi:type="dcterms:W3CDTF">2017-03-16T10:54:00Z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2013011</vt:r8>
  </property>
</Properties>
</file>