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2013405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79064686" w:rsidR="00E13C27" w:rsidRPr="00CF1AA2" w:rsidRDefault="008F6665" w:rsidP="00727623">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בצלאל סמוטריץ'</w:t>
      </w:r>
      <w:r>
        <w:br/>
      </w:r>
      <w:r>
        <w:rPr>
          <w:rFonts w:hint="cs"/>
          <w:b/>
          <w:bCs/>
          <w:rtl/>
        </w:rPr>
        <w:t xml:space="preserve"> </w:t>
      </w:r>
      <w:r>
        <w:tab/>
      </w:r>
      <w:r>
        <w:tab/>
      </w:r>
      <w:r>
        <w:tab/>
      </w:r>
      <w:r>
        <w:tab/>
      </w:r>
      <w:r>
        <w:rPr>
          <w:rFonts w:hint="cs"/>
          <w:b/>
          <w:bCs/>
          <w:rtl/>
        </w:rPr>
        <w:t>דוד ביטן</w:t>
      </w:r>
      <w:r>
        <w:br/>
      </w:r>
      <w:r>
        <w:rPr>
          <w:rFonts w:hint="cs"/>
          <w:b/>
          <w:bCs/>
          <w:rtl/>
        </w:rPr>
        <w:t xml:space="preserve"> </w:t>
      </w:r>
      <w:r>
        <w:tab/>
      </w:r>
      <w:r>
        <w:tab/>
      </w:r>
      <w:r>
        <w:tab/>
      </w:r>
      <w:r>
        <w:tab/>
      </w:r>
      <w:r>
        <w:rPr>
          <w:rFonts w:hint="cs"/>
          <w:b/>
          <w:bCs/>
          <w:rtl/>
        </w:rPr>
        <w:t>שולי מועלם-רפאלי</w:t>
      </w:r>
      <w:r>
        <w:br/>
      </w:r>
      <w:r>
        <w:rPr>
          <w:rFonts w:hint="cs"/>
          <w:b/>
          <w:bCs/>
          <w:rtl/>
        </w:rPr>
        <w:t xml:space="preserve"> </w:t>
      </w:r>
      <w:r>
        <w:tab/>
      </w:r>
      <w:r>
        <w:tab/>
      </w:r>
      <w:r>
        <w:tab/>
      </w:r>
      <w:r>
        <w:tab/>
      </w:r>
      <w:r>
        <w:rPr>
          <w:rFonts w:hint="cs"/>
          <w:b/>
          <w:bCs/>
          <w:rtl/>
        </w:rPr>
        <w:t>מנחם אליעזר מוזס</w:t>
      </w:r>
      <w:r>
        <w:br/>
      </w:r>
      <w:r>
        <w:rPr>
          <w:rFonts w:hint="cs"/>
          <w:b/>
          <w:bCs/>
          <w:rtl/>
        </w:rPr>
        <w:t xml:space="preserve"> </w:t>
      </w:r>
      <w:r>
        <w:tab/>
      </w:r>
      <w:r>
        <w:tab/>
      </w:r>
      <w:r>
        <w:tab/>
      </w:r>
      <w:r>
        <w:tab/>
      </w:r>
      <w:r>
        <w:rPr>
          <w:rFonts w:hint="cs"/>
          <w:b/>
          <w:bCs/>
          <w:rtl/>
        </w:rPr>
        <w:t>רוברט אילטוב</w:t>
      </w:r>
      <w:r>
        <w:br/>
      </w:r>
      <w:r>
        <w:rPr>
          <w:rFonts w:hint="cs"/>
          <w:b/>
          <w:bCs/>
          <w:rtl/>
        </w:rPr>
        <w:t xml:space="preserve"> </w:t>
      </w:r>
      <w:r>
        <w:tab/>
      </w:r>
      <w:r>
        <w:tab/>
      </w:r>
      <w:r>
        <w:tab/>
      </w:r>
      <w:r>
        <w:tab/>
      </w:r>
      <w:r>
        <w:rPr>
          <w:rFonts w:hint="cs"/>
          <w:b/>
          <w:bCs/>
          <w:rtl/>
        </w:rPr>
        <w:t>יואב בן צור</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29F0BDBA" w:rsidR="00904591" w:rsidRPr="00904591" w:rsidRDefault="00266D86" w:rsidP="0036422C">
      <w:pPr>
        <w:pStyle w:val="David"/>
        <w:spacing w:before="0" w:line="360" w:lineRule="auto"/>
        <w:ind w:left="3544"/>
        <w:rPr>
          <w:rFonts w:hint="cs"/>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r w:rsidR="00727623">
        <w:rPr>
          <w:rFonts w:hint="cs"/>
          <w:rtl/>
        </w:rPr>
        <w:t>פ/4005/20</w:t>
      </w:r>
    </w:p>
    <w:p w14:paraId="7F6961AD" w14:textId="1EE50E95" w:rsidR="00E13C27" w:rsidRPr="00F67051" w:rsidRDefault="00A443CF" w:rsidP="00466C51">
      <w:pPr>
        <w:pStyle w:val="HeadHatzaotHok"/>
        <w:rPr>
          <w:rtl/>
        </w:rPr>
      </w:pPr>
      <w:bookmarkStart w:id="6" w:name="LGS_Subject"/>
      <w:r>
        <w:rPr>
          <w:rFonts w:hint="cs"/>
          <w:rtl/>
        </w:rPr>
        <w:t xml:space="preserve">הצעת חוק-יסוד: כבוד האדם וחירותו (תיקון – תוקפו של חוק חורג) </w:t>
      </w:r>
      <w:bookmarkEnd w:id="6"/>
    </w:p>
    <w:p w14:paraId="7F6961AE" w14:textId="77777777" w:rsidR="00E13C27" w:rsidRDefault="00E13C27" w:rsidP="0021633A">
      <w:pPr>
        <w:pStyle w:val="HeadDivreiHesber"/>
        <w:spacing w:before="0" w:after="0"/>
        <w:rPr>
          <w:rtl/>
        </w:rPr>
      </w:pPr>
    </w:p>
    <w:tbl>
      <w:tblPr>
        <w:bidiVisual/>
        <w:tblW w:w="9557" w:type="dxa"/>
        <w:tblInd w:w="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left w:w="0" w:type="dxa"/>
          <w:bottom w:w="57" w:type="dxa"/>
          <w:right w:w="0" w:type="dxa"/>
        </w:tblCellMar>
        <w:tblLook w:val="0000" w:firstRow="0" w:lastRow="0" w:firstColumn="0" w:lastColumn="0" w:noHBand="0" w:noVBand="0"/>
      </w:tblPr>
      <w:tblGrid>
        <w:gridCol w:w="1854"/>
        <w:gridCol w:w="619"/>
        <w:gridCol w:w="1855"/>
        <w:gridCol w:w="619"/>
        <w:gridCol w:w="4610"/>
      </w:tblGrid>
      <w:tr w:rsidR="00E64150" w:rsidRPr="008E552B" w14:paraId="765AD756" w14:textId="77777777" w:rsidTr="004754F8">
        <w:trPr>
          <w:cantSplit/>
          <w:trHeight w:val="58"/>
        </w:trPr>
        <w:tc>
          <w:tcPr>
            <w:tcW w:w="1854" w:type="dxa"/>
            <w:tcBorders>
              <w:top w:val="nil"/>
              <w:left w:val="nil"/>
              <w:bottom w:val="nil"/>
              <w:right w:val="nil"/>
            </w:tcBorders>
          </w:tcPr>
          <w:p w14:paraId="1DCFDB8D" w14:textId="77777777" w:rsidR="00E64150" w:rsidRPr="008E552B" w:rsidRDefault="00E64150" w:rsidP="004754F8">
            <w:pPr>
              <w:tabs>
                <w:tab w:val="left" w:pos="624"/>
                <w:tab w:val="left" w:pos="1247"/>
              </w:tabs>
              <w:snapToGrid w:val="0"/>
              <w:spacing w:before="0" w:line="360" w:lineRule="auto"/>
              <w:ind w:right="57" w:firstLine="0"/>
              <w:jc w:val="left"/>
              <w:rPr>
                <w:rFonts w:cs="David"/>
                <w:spacing w:val="0"/>
                <w:sz w:val="26"/>
                <w:szCs w:val="26"/>
                <w:rtl/>
              </w:rPr>
            </w:pPr>
            <w:r>
              <w:rPr>
                <w:rFonts w:cs="David"/>
                <w:spacing w:val="0"/>
                <w:sz w:val="26"/>
                <w:szCs w:val="26"/>
                <w:rtl/>
              </w:rPr>
              <w:t>הוספת סעיף 13</w:t>
            </w:r>
          </w:p>
        </w:tc>
        <w:tc>
          <w:tcPr>
            <w:tcW w:w="619" w:type="dxa"/>
            <w:tcBorders>
              <w:top w:val="nil"/>
              <w:left w:val="nil"/>
              <w:bottom w:val="nil"/>
              <w:right w:val="nil"/>
            </w:tcBorders>
          </w:tcPr>
          <w:p w14:paraId="4A26651F" w14:textId="77777777" w:rsidR="00E64150" w:rsidRDefault="00E64150" w:rsidP="004754F8">
            <w:pPr>
              <w:pStyle w:val="TableText"/>
              <w:rPr>
                <w:rtl/>
              </w:rPr>
            </w:pPr>
            <w:r>
              <w:rPr>
                <w:rtl/>
              </w:rPr>
              <w:t>1.</w:t>
            </w:r>
          </w:p>
        </w:tc>
        <w:tc>
          <w:tcPr>
            <w:tcW w:w="7084" w:type="dxa"/>
            <w:gridSpan w:val="3"/>
            <w:tcBorders>
              <w:top w:val="nil"/>
              <w:left w:val="nil"/>
              <w:bottom w:val="nil"/>
              <w:right w:val="nil"/>
            </w:tcBorders>
          </w:tcPr>
          <w:p w14:paraId="3E02393E" w14:textId="77777777" w:rsidR="00E64150" w:rsidRPr="008E552B" w:rsidRDefault="00E64150" w:rsidP="004754F8">
            <w:pPr>
              <w:tabs>
                <w:tab w:val="left" w:pos="624"/>
                <w:tab w:val="left" w:pos="1247"/>
              </w:tabs>
              <w:snapToGrid w:val="0"/>
              <w:spacing w:before="0" w:line="360" w:lineRule="auto"/>
              <w:ind w:firstLine="0"/>
              <w:rPr>
                <w:rFonts w:cs="David"/>
                <w:spacing w:val="0"/>
                <w:sz w:val="26"/>
                <w:szCs w:val="26"/>
                <w:rtl/>
              </w:rPr>
            </w:pPr>
            <w:r>
              <w:rPr>
                <w:rFonts w:cs="David"/>
                <w:spacing w:val="0"/>
                <w:sz w:val="26"/>
                <w:szCs w:val="26"/>
                <w:rtl/>
              </w:rPr>
              <w:t>בחוק-יסוד: כבוד האדם וחירותו</w:t>
            </w:r>
            <w:r w:rsidRPr="008E552B">
              <w:rPr>
                <w:rFonts w:cs="David"/>
                <w:spacing w:val="0"/>
                <w:sz w:val="26"/>
                <w:szCs w:val="26"/>
                <w:vertAlign w:val="superscript"/>
                <w:rtl/>
              </w:rPr>
              <w:footnoteReference w:id="2"/>
            </w:r>
            <w:r>
              <w:rPr>
                <w:rFonts w:cs="David"/>
                <w:spacing w:val="0"/>
                <w:sz w:val="26"/>
                <w:szCs w:val="26"/>
                <w:rtl/>
              </w:rPr>
              <w:t>, אחרי סעיף 12 יבוא:</w:t>
            </w:r>
          </w:p>
        </w:tc>
      </w:tr>
      <w:tr w:rsidR="00E64150" w:rsidRPr="008E552B" w14:paraId="200F6587" w14:textId="77777777" w:rsidTr="00475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
        </w:trPr>
        <w:tc>
          <w:tcPr>
            <w:tcW w:w="1854" w:type="dxa"/>
            <w:tcBorders>
              <w:top w:val="nil"/>
              <w:left w:val="nil"/>
              <w:bottom w:val="nil"/>
              <w:right w:val="nil"/>
            </w:tcBorders>
          </w:tcPr>
          <w:p w14:paraId="1603F9F4" w14:textId="77777777" w:rsidR="00E64150" w:rsidRPr="008E552B" w:rsidRDefault="00E64150" w:rsidP="004754F8">
            <w:pPr>
              <w:tabs>
                <w:tab w:val="left" w:pos="624"/>
                <w:tab w:val="left" w:pos="1247"/>
              </w:tabs>
              <w:snapToGrid w:val="0"/>
              <w:spacing w:before="0" w:line="360" w:lineRule="auto"/>
              <w:ind w:right="57" w:firstLine="0"/>
              <w:jc w:val="left"/>
              <w:rPr>
                <w:rFonts w:ascii="Arial" w:eastAsia="Arial Unicode MS" w:hAnsi="Arial" w:cs="David"/>
                <w:spacing w:val="0"/>
                <w:sz w:val="20"/>
                <w:szCs w:val="26"/>
              </w:rPr>
            </w:pPr>
          </w:p>
        </w:tc>
        <w:tc>
          <w:tcPr>
            <w:tcW w:w="619" w:type="dxa"/>
            <w:tcBorders>
              <w:top w:val="nil"/>
              <w:left w:val="nil"/>
              <w:bottom w:val="nil"/>
              <w:right w:val="nil"/>
            </w:tcBorders>
          </w:tcPr>
          <w:p w14:paraId="3198B4EC" w14:textId="77777777" w:rsidR="00E64150" w:rsidRPr="008E552B" w:rsidRDefault="00E64150" w:rsidP="004754F8">
            <w:pPr>
              <w:tabs>
                <w:tab w:val="left" w:pos="624"/>
                <w:tab w:val="left" w:pos="1247"/>
              </w:tabs>
              <w:snapToGrid w:val="0"/>
              <w:spacing w:before="0" w:line="360" w:lineRule="auto"/>
              <w:ind w:right="57" w:firstLine="0"/>
              <w:jc w:val="left"/>
              <w:rPr>
                <w:rFonts w:ascii="Arial" w:eastAsia="Arial Unicode MS" w:hAnsi="Arial" w:cs="David"/>
                <w:spacing w:val="0"/>
                <w:sz w:val="20"/>
                <w:szCs w:val="26"/>
              </w:rPr>
            </w:pPr>
          </w:p>
        </w:tc>
        <w:tc>
          <w:tcPr>
            <w:tcW w:w="1855" w:type="dxa"/>
            <w:tcBorders>
              <w:top w:val="nil"/>
              <w:left w:val="nil"/>
              <w:bottom w:val="nil"/>
              <w:right w:val="nil"/>
            </w:tcBorders>
          </w:tcPr>
          <w:p w14:paraId="4A618CD0" w14:textId="77777777" w:rsidR="00E64150" w:rsidRPr="008E552B" w:rsidRDefault="00E64150" w:rsidP="004754F8">
            <w:pPr>
              <w:keepLines/>
              <w:tabs>
                <w:tab w:val="left" w:pos="624"/>
                <w:tab w:val="left" w:pos="1247"/>
              </w:tabs>
              <w:snapToGrid w:val="0"/>
              <w:spacing w:before="0" w:line="360" w:lineRule="auto"/>
              <w:ind w:right="57" w:firstLine="0"/>
              <w:jc w:val="left"/>
              <w:rPr>
                <w:rFonts w:ascii="Arial" w:eastAsia="Arial Unicode MS" w:hAnsi="Arial" w:cs="David"/>
                <w:spacing w:val="0"/>
                <w:sz w:val="20"/>
                <w:szCs w:val="26"/>
              </w:rPr>
            </w:pPr>
            <w:r w:rsidRPr="008E552B">
              <w:rPr>
                <w:rFonts w:cs="David"/>
                <w:spacing w:val="0"/>
                <w:sz w:val="26"/>
                <w:szCs w:val="26"/>
                <w:rtl/>
              </w:rPr>
              <w:t>"תוקפו של חוק חורג</w:t>
            </w:r>
          </w:p>
        </w:tc>
        <w:tc>
          <w:tcPr>
            <w:tcW w:w="619" w:type="dxa"/>
            <w:tcBorders>
              <w:top w:val="nil"/>
              <w:left w:val="nil"/>
              <w:bottom w:val="nil"/>
              <w:right w:val="nil"/>
            </w:tcBorders>
          </w:tcPr>
          <w:p w14:paraId="1B63E18E" w14:textId="77777777" w:rsidR="00E64150" w:rsidRPr="008E552B" w:rsidRDefault="00E64150" w:rsidP="004754F8">
            <w:pPr>
              <w:keepLines/>
              <w:tabs>
                <w:tab w:val="left" w:pos="624"/>
                <w:tab w:val="left" w:pos="1247"/>
              </w:tabs>
              <w:snapToGrid w:val="0"/>
              <w:spacing w:before="0" w:line="360" w:lineRule="auto"/>
              <w:ind w:firstLine="0"/>
              <w:rPr>
                <w:rFonts w:ascii="Arial" w:eastAsia="Arial Unicode MS" w:hAnsi="Arial" w:cs="David"/>
                <w:spacing w:val="0"/>
                <w:sz w:val="20"/>
                <w:szCs w:val="26"/>
              </w:rPr>
            </w:pPr>
            <w:r w:rsidRPr="008E552B">
              <w:rPr>
                <w:rFonts w:cs="David"/>
                <w:spacing w:val="0"/>
                <w:sz w:val="26"/>
                <w:szCs w:val="26"/>
                <w:rtl/>
              </w:rPr>
              <w:t>13.</w:t>
            </w:r>
          </w:p>
        </w:tc>
        <w:tc>
          <w:tcPr>
            <w:tcW w:w="4610" w:type="dxa"/>
            <w:tcBorders>
              <w:top w:val="nil"/>
              <w:left w:val="nil"/>
              <w:bottom w:val="nil"/>
              <w:right w:val="nil"/>
            </w:tcBorders>
          </w:tcPr>
          <w:p w14:paraId="61D0BDD4" w14:textId="5337E4CB" w:rsidR="00E64150" w:rsidRPr="008E552B" w:rsidRDefault="003B717A" w:rsidP="00466C51">
            <w:pPr>
              <w:pStyle w:val="TableBlock"/>
              <w:rPr>
                <w:rtl/>
              </w:rPr>
            </w:pPr>
            <w:r>
              <w:rPr>
                <w:rFonts w:hint="cs"/>
                <w:rtl/>
              </w:rPr>
              <w:t xml:space="preserve">(א) </w:t>
            </w:r>
            <w:r>
              <w:rPr>
                <w:rtl/>
              </w:rPr>
              <w:tab/>
            </w:r>
            <w:r w:rsidR="001B1125" w:rsidRPr="003B717A">
              <w:rPr>
                <w:rtl/>
              </w:rPr>
              <w:t xml:space="preserve">הוראת חוק הפוגעת בזכויות שלפי חוק-יסוד זה תהיה תקפה אף כשאינה בהתאם לסעיף 8, אם נכללה בחוק שנאמר בו במפורש, שהוא תקף על אף האמור בחוק-יסוד זה; תוקפו של חוק כאמור יפקע בתום </w:t>
            </w:r>
            <w:r w:rsidR="00466C51">
              <w:rPr>
                <w:rFonts w:hint="cs"/>
                <w:rtl/>
              </w:rPr>
              <w:t>ארבע</w:t>
            </w:r>
            <w:r w:rsidR="001B1125" w:rsidRPr="003B717A">
              <w:rPr>
                <w:rtl/>
              </w:rPr>
              <w:t xml:space="preserve"> שנים מיום תחילתו, זולת אם נקבע בו מועד מוקדם יותר.</w:t>
            </w:r>
          </w:p>
        </w:tc>
      </w:tr>
      <w:tr w:rsidR="001B1125" w:rsidRPr="008E552B" w14:paraId="59E94461" w14:textId="77777777" w:rsidTr="00475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
        </w:trPr>
        <w:tc>
          <w:tcPr>
            <w:tcW w:w="1854" w:type="dxa"/>
            <w:tcBorders>
              <w:top w:val="nil"/>
              <w:left w:val="nil"/>
              <w:bottom w:val="nil"/>
              <w:right w:val="nil"/>
            </w:tcBorders>
          </w:tcPr>
          <w:p w14:paraId="2612DD4D" w14:textId="77777777" w:rsidR="001B1125" w:rsidRPr="008E552B" w:rsidRDefault="001B1125" w:rsidP="004754F8">
            <w:pPr>
              <w:tabs>
                <w:tab w:val="left" w:pos="624"/>
                <w:tab w:val="left" w:pos="1247"/>
              </w:tabs>
              <w:snapToGrid w:val="0"/>
              <w:spacing w:before="0" w:line="360" w:lineRule="auto"/>
              <w:ind w:right="57" w:firstLine="0"/>
              <w:jc w:val="left"/>
              <w:rPr>
                <w:rFonts w:ascii="Arial" w:eastAsia="Arial Unicode MS" w:hAnsi="Arial" w:cs="David"/>
                <w:spacing w:val="0"/>
                <w:sz w:val="20"/>
                <w:szCs w:val="26"/>
              </w:rPr>
            </w:pPr>
          </w:p>
        </w:tc>
        <w:tc>
          <w:tcPr>
            <w:tcW w:w="619" w:type="dxa"/>
            <w:tcBorders>
              <w:top w:val="nil"/>
              <w:left w:val="nil"/>
              <w:bottom w:val="nil"/>
              <w:right w:val="nil"/>
            </w:tcBorders>
          </w:tcPr>
          <w:p w14:paraId="3CC09BBB" w14:textId="77777777" w:rsidR="001B1125" w:rsidRPr="008E552B" w:rsidRDefault="001B1125" w:rsidP="001B1125">
            <w:pPr>
              <w:pStyle w:val="TableText"/>
            </w:pPr>
          </w:p>
        </w:tc>
        <w:tc>
          <w:tcPr>
            <w:tcW w:w="1855" w:type="dxa"/>
            <w:tcBorders>
              <w:top w:val="nil"/>
              <w:left w:val="nil"/>
              <w:bottom w:val="nil"/>
              <w:right w:val="nil"/>
            </w:tcBorders>
          </w:tcPr>
          <w:p w14:paraId="442316B9" w14:textId="77777777" w:rsidR="001B1125" w:rsidRPr="008E552B" w:rsidRDefault="001B1125" w:rsidP="004754F8">
            <w:pPr>
              <w:keepLines/>
              <w:tabs>
                <w:tab w:val="left" w:pos="624"/>
                <w:tab w:val="left" w:pos="1247"/>
              </w:tabs>
              <w:snapToGrid w:val="0"/>
              <w:spacing w:before="0" w:line="360" w:lineRule="auto"/>
              <w:ind w:right="57" w:firstLine="0"/>
              <w:jc w:val="left"/>
              <w:rPr>
                <w:rFonts w:cs="David"/>
                <w:spacing w:val="0"/>
                <w:sz w:val="26"/>
                <w:szCs w:val="26"/>
                <w:rtl/>
              </w:rPr>
            </w:pPr>
          </w:p>
        </w:tc>
        <w:tc>
          <w:tcPr>
            <w:tcW w:w="619" w:type="dxa"/>
            <w:tcBorders>
              <w:top w:val="nil"/>
              <w:left w:val="nil"/>
              <w:bottom w:val="nil"/>
              <w:right w:val="nil"/>
            </w:tcBorders>
          </w:tcPr>
          <w:p w14:paraId="112B7D1E" w14:textId="77777777" w:rsidR="001B1125" w:rsidRPr="008E552B" w:rsidRDefault="001B1125" w:rsidP="004754F8">
            <w:pPr>
              <w:keepLines/>
              <w:tabs>
                <w:tab w:val="left" w:pos="624"/>
                <w:tab w:val="left" w:pos="1247"/>
              </w:tabs>
              <w:snapToGrid w:val="0"/>
              <w:spacing w:before="0" w:line="360" w:lineRule="auto"/>
              <w:ind w:firstLine="0"/>
              <w:rPr>
                <w:rFonts w:cs="David"/>
                <w:spacing w:val="0"/>
                <w:sz w:val="26"/>
                <w:szCs w:val="26"/>
                <w:rtl/>
              </w:rPr>
            </w:pPr>
          </w:p>
        </w:tc>
        <w:tc>
          <w:tcPr>
            <w:tcW w:w="4610" w:type="dxa"/>
            <w:tcBorders>
              <w:top w:val="nil"/>
              <w:left w:val="nil"/>
              <w:bottom w:val="nil"/>
              <w:right w:val="nil"/>
            </w:tcBorders>
          </w:tcPr>
          <w:p w14:paraId="4C6BAD6E" w14:textId="141D6CBA" w:rsidR="001B1125" w:rsidRDefault="003B717A" w:rsidP="003B717A">
            <w:pPr>
              <w:keepLines/>
              <w:tabs>
                <w:tab w:val="left" w:pos="624"/>
                <w:tab w:val="left" w:pos="1247"/>
              </w:tabs>
              <w:snapToGrid w:val="0"/>
              <w:spacing w:before="0" w:line="360" w:lineRule="auto"/>
              <w:ind w:firstLine="0"/>
              <w:rPr>
                <w:rFonts w:cs="David"/>
                <w:spacing w:val="0"/>
                <w:sz w:val="26"/>
                <w:szCs w:val="26"/>
                <w:rtl/>
              </w:rPr>
            </w:pPr>
            <w:r>
              <w:rPr>
                <w:rFonts w:cs="David" w:hint="cs"/>
                <w:spacing w:val="0"/>
                <w:sz w:val="26"/>
                <w:szCs w:val="26"/>
                <w:rtl/>
              </w:rPr>
              <w:t>(ב)</w:t>
            </w:r>
            <w:r>
              <w:rPr>
                <w:rFonts w:cs="David"/>
                <w:spacing w:val="0"/>
                <w:sz w:val="26"/>
                <w:szCs w:val="26"/>
                <w:rtl/>
              </w:rPr>
              <w:tab/>
            </w:r>
            <w:r w:rsidR="001B1125" w:rsidRPr="001B1125">
              <w:rPr>
                <w:rFonts w:cs="David"/>
                <w:spacing w:val="0"/>
                <w:sz w:val="26"/>
                <w:szCs w:val="26"/>
                <w:rtl/>
              </w:rPr>
              <w:t>חוקקה הכנסת חוק כאמור בסעיף קטן (א), והושבעה לאחר מכן כנסת נוספת, רשאית הכנסת לחוקק פעם נוספת את החוק שנחקק</w:t>
            </w:r>
            <w:r>
              <w:rPr>
                <w:rFonts w:cs="David" w:hint="cs"/>
                <w:spacing w:val="0"/>
                <w:sz w:val="26"/>
                <w:szCs w:val="26"/>
                <w:rtl/>
              </w:rPr>
              <w:t xml:space="preserve"> </w:t>
            </w:r>
            <w:r w:rsidR="001B1125" w:rsidRPr="001B1125">
              <w:rPr>
                <w:rFonts w:cs="David"/>
                <w:spacing w:val="0"/>
                <w:sz w:val="26"/>
                <w:szCs w:val="26"/>
                <w:rtl/>
              </w:rPr>
              <w:t>כאמור בסעיף קטן (א); תוקפו של חוק כאמור אינו מוגבל בזמן, זולת אם נקבע בו אחרת.</w:t>
            </w:r>
          </w:p>
        </w:tc>
      </w:tr>
      <w:tr w:rsidR="001B1125" w:rsidRPr="008E552B" w14:paraId="2928620C" w14:textId="77777777" w:rsidTr="00475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8"/>
        </w:trPr>
        <w:tc>
          <w:tcPr>
            <w:tcW w:w="1854" w:type="dxa"/>
            <w:tcBorders>
              <w:top w:val="nil"/>
              <w:left w:val="nil"/>
              <w:bottom w:val="nil"/>
              <w:right w:val="nil"/>
            </w:tcBorders>
          </w:tcPr>
          <w:p w14:paraId="64B16366" w14:textId="77777777" w:rsidR="001B1125" w:rsidRDefault="001B1125" w:rsidP="004754F8">
            <w:pPr>
              <w:tabs>
                <w:tab w:val="left" w:pos="624"/>
                <w:tab w:val="left" w:pos="1247"/>
              </w:tabs>
              <w:snapToGrid w:val="0"/>
              <w:spacing w:before="0" w:line="360" w:lineRule="auto"/>
              <w:ind w:right="57" w:firstLine="0"/>
              <w:jc w:val="left"/>
              <w:rPr>
                <w:rFonts w:ascii="Arial" w:eastAsia="Arial Unicode MS" w:hAnsi="Arial" w:cs="David"/>
                <w:spacing w:val="0"/>
                <w:sz w:val="20"/>
                <w:szCs w:val="26"/>
                <w:rtl/>
              </w:rPr>
            </w:pPr>
          </w:p>
        </w:tc>
        <w:tc>
          <w:tcPr>
            <w:tcW w:w="619" w:type="dxa"/>
            <w:tcBorders>
              <w:top w:val="nil"/>
              <w:left w:val="nil"/>
              <w:bottom w:val="nil"/>
              <w:right w:val="nil"/>
            </w:tcBorders>
          </w:tcPr>
          <w:p w14:paraId="043F3120" w14:textId="77777777" w:rsidR="001B1125" w:rsidRPr="008E552B" w:rsidRDefault="001B1125" w:rsidP="001B1125">
            <w:pPr>
              <w:pStyle w:val="TableText"/>
            </w:pPr>
          </w:p>
        </w:tc>
        <w:tc>
          <w:tcPr>
            <w:tcW w:w="1855" w:type="dxa"/>
            <w:tcBorders>
              <w:top w:val="nil"/>
              <w:left w:val="nil"/>
              <w:bottom w:val="nil"/>
              <w:right w:val="nil"/>
            </w:tcBorders>
          </w:tcPr>
          <w:p w14:paraId="074C4FC7" w14:textId="77777777" w:rsidR="001B1125" w:rsidRPr="008E552B" w:rsidRDefault="001B1125" w:rsidP="004754F8">
            <w:pPr>
              <w:keepLines/>
              <w:tabs>
                <w:tab w:val="left" w:pos="624"/>
                <w:tab w:val="left" w:pos="1247"/>
              </w:tabs>
              <w:snapToGrid w:val="0"/>
              <w:spacing w:before="0" w:line="360" w:lineRule="auto"/>
              <w:ind w:right="57" w:firstLine="0"/>
              <w:jc w:val="left"/>
              <w:rPr>
                <w:rFonts w:cs="David"/>
                <w:spacing w:val="0"/>
                <w:sz w:val="26"/>
                <w:szCs w:val="26"/>
                <w:rtl/>
              </w:rPr>
            </w:pPr>
          </w:p>
        </w:tc>
        <w:tc>
          <w:tcPr>
            <w:tcW w:w="619" w:type="dxa"/>
            <w:tcBorders>
              <w:top w:val="nil"/>
              <w:left w:val="nil"/>
              <w:bottom w:val="nil"/>
              <w:right w:val="nil"/>
            </w:tcBorders>
          </w:tcPr>
          <w:p w14:paraId="159D2CC8" w14:textId="77777777" w:rsidR="001B1125" w:rsidRPr="008E552B" w:rsidRDefault="001B1125" w:rsidP="004754F8">
            <w:pPr>
              <w:keepLines/>
              <w:tabs>
                <w:tab w:val="left" w:pos="624"/>
                <w:tab w:val="left" w:pos="1247"/>
              </w:tabs>
              <w:snapToGrid w:val="0"/>
              <w:spacing w:before="0" w:line="360" w:lineRule="auto"/>
              <w:ind w:firstLine="0"/>
              <w:rPr>
                <w:rFonts w:cs="David"/>
                <w:spacing w:val="0"/>
                <w:sz w:val="26"/>
                <w:szCs w:val="26"/>
                <w:rtl/>
              </w:rPr>
            </w:pPr>
          </w:p>
        </w:tc>
        <w:tc>
          <w:tcPr>
            <w:tcW w:w="4610" w:type="dxa"/>
            <w:tcBorders>
              <w:top w:val="nil"/>
              <w:left w:val="nil"/>
              <w:bottom w:val="nil"/>
              <w:right w:val="nil"/>
            </w:tcBorders>
          </w:tcPr>
          <w:p w14:paraId="49CBC3EE" w14:textId="7E9EAC2E" w:rsidR="001B1125" w:rsidRDefault="003B717A" w:rsidP="001B1125">
            <w:pPr>
              <w:keepLines/>
              <w:tabs>
                <w:tab w:val="left" w:pos="624"/>
                <w:tab w:val="left" w:pos="1247"/>
              </w:tabs>
              <w:snapToGrid w:val="0"/>
              <w:spacing w:before="0" w:line="360" w:lineRule="auto"/>
              <w:ind w:firstLine="0"/>
              <w:rPr>
                <w:rFonts w:cs="David"/>
                <w:spacing w:val="0"/>
                <w:sz w:val="26"/>
                <w:szCs w:val="26"/>
                <w:rtl/>
              </w:rPr>
            </w:pPr>
            <w:r>
              <w:rPr>
                <w:rFonts w:cs="David" w:hint="cs"/>
                <w:spacing w:val="0"/>
                <w:sz w:val="26"/>
                <w:szCs w:val="26"/>
                <w:rtl/>
              </w:rPr>
              <w:t>(ג)</w:t>
            </w:r>
            <w:r>
              <w:rPr>
                <w:rFonts w:cs="David"/>
                <w:spacing w:val="0"/>
                <w:sz w:val="26"/>
                <w:szCs w:val="26"/>
                <w:rtl/>
              </w:rPr>
              <w:tab/>
            </w:r>
            <w:r w:rsidR="001B1125" w:rsidRPr="001B1125">
              <w:rPr>
                <w:rFonts w:cs="David"/>
                <w:spacing w:val="0"/>
                <w:sz w:val="26"/>
                <w:szCs w:val="26"/>
                <w:rtl/>
              </w:rPr>
              <w:t>אין בכוחה של פקיעת תוקפו של חוק לפי סעיף קטן (א) כדי לפגוע בתוצאות פעולות שבוצעו באמצעות החוק או לפי החוק בעת שהיה בתוקף</w:t>
            </w:r>
            <w:r>
              <w:rPr>
                <w:rFonts w:cs="David" w:hint="cs"/>
                <w:spacing w:val="0"/>
                <w:sz w:val="26"/>
                <w:szCs w:val="26"/>
                <w:rtl/>
              </w:rPr>
              <w:t>.</w:t>
            </w:r>
            <w:r w:rsidR="001B1125" w:rsidRPr="001B1125">
              <w:rPr>
                <w:rFonts w:cs="David"/>
                <w:spacing w:val="0"/>
                <w:sz w:val="26"/>
                <w:szCs w:val="26"/>
                <w:rtl/>
              </w:rPr>
              <w:t>"</w:t>
            </w:r>
          </w:p>
        </w:tc>
      </w:tr>
    </w:tbl>
    <w:p w14:paraId="22D0A2D2" w14:textId="77777777" w:rsidR="001B1125" w:rsidRPr="003B717A" w:rsidRDefault="001B1125" w:rsidP="002D1EE3">
      <w:pPr>
        <w:pStyle w:val="HeadDivreiHesber"/>
        <w:rPr>
          <w:rtl/>
        </w:rPr>
      </w:pPr>
    </w:p>
    <w:p w14:paraId="31EF0E2E" w14:textId="77777777" w:rsidR="003B717A" w:rsidRDefault="003B717A" w:rsidP="002D1EE3">
      <w:pPr>
        <w:pStyle w:val="HeadDivreiHesber"/>
        <w:rPr>
          <w:rtl/>
        </w:rPr>
      </w:pPr>
    </w:p>
    <w:p w14:paraId="7F6961CA" w14:textId="77777777" w:rsidR="002D1EE3" w:rsidRDefault="002D1EE3" w:rsidP="002D1EE3">
      <w:pPr>
        <w:pStyle w:val="HeadDivreiHesber"/>
        <w:rPr>
          <w:rtl/>
        </w:rPr>
      </w:pPr>
      <w:r w:rsidRPr="0027450A">
        <w:rPr>
          <w:rFonts w:hint="cs"/>
          <w:rtl/>
        </w:rPr>
        <w:lastRenderedPageBreak/>
        <w:t>דברי הסבר</w:t>
      </w:r>
    </w:p>
    <w:p w14:paraId="7260A251" w14:textId="77777777" w:rsidR="00466C51" w:rsidRPr="002947E8" w:rsidRDefault="00466C51" w:rsidP="00466C51">
      <w:pPr>
        <w:pStyle w:val="Hesber"/>
        <w:rPr>
          <w:rtl/>
        </w:rPr>
      </w:pPr>
      <w:r w:rsidRPr="002947E8">
        <w:rPr>
          <w:rtl/>
        </w:rPr>
        <w:t xml:space="preserve">חוק-יסוד: כבוד האדם וחירותו אינו כולל הוראת התגברות, בדומה לזו הנכללת בסעיף 8 לחוק-יסוד: חופש העיסוק. המנגנון המשפטי של פסקת ההתגברות, המאפשר לכנסת לחוקק חוק אף אם אינו עומד בתנאי פסקת ההגבלה, נחקק על ידי הכנסת הארבע-עשרה בחוק יסוד חופש העיסוק, תוך הסכמה רחבה במיוחד מכל קצוות הקשת הפוליטית. </w:t>
      </w:r>
    </w:p>
    <w:p w14:paraId="0040002E" w14:textId="77777777" w:rsidR="00466C51" w:rsidRDefault="00466C51" w:rsidP="00466C51">
      <w:pPr>
        <w:pStyle w:val="Hesber"/>
        <w:rPr>
          <w:rtl/>
        </w:rPr>
      </w:pPr>
      <w:r>
        <w:rPr>
          <w:rtl/>
        </w:rPr>
        <w:t xml:space="preserve">במדינות שבחרו לכונן חוקה, </w:t>
      </w:r>
      <w:r w:rsidRPr="002947E8">
        <w:rPr>
          <w:rtl/>
        </w:rPr>
        <w:t xml:space="preserve">בית משפט מוסמך לזהות חריגה של חוקים מעקרונות החוקה ולהכריז על בטלותם וכך מונעת </w:t>
      </w:r>
      <w:r>
        <w:rPr>
          <w:rtl/>
        </w:rPr>
        <w:t>החוקה</w:t>
      </w:r>
      <w:r w:rsidRPr="002947E8">
        <w:rPr>
          <w:rtl/>
        </w:rPr>
        <w:t xml:space="preserve"> מרוב מזדמן בבית המחוקקים לפגוע בערכי היסוד של החברה. כך גם מונעת </w:t>
      </w:r>
      <w:r>
        <w:rPr>
          <w:rtl/>
        </w:rPr>
        <w:t>החוקה</w:t>
      </w:r>
      <w:r w:rsidRPr="002947E8">
        <w:rPr>
          <w:rtl/>
        </w:rPr>
        <w:t xml:space="preserve"> מרוב מוחלט הטרוד באינטרסים קצרי טווח לפגוע בערכי היסוד עליהם מושתת החברה. עם זאת, לעתים קיים ויכוח ערכי בין שופטי בית המשפט לבין נבחרי הציבור ביחס לאיזון הראוי בסוגיה חוקתית קונקרטית, בו ראוי להעניק לרשות המחוקקת אפשרות לחקיקת חוק ספציפי על אף הביקורת השיפוטית שהועברה עליו מצד בית המשפט בשל היותה הרשות הנבחרת המשקפת בהרכבה את מגוון הדעות של האוכלוסייה. </w:t>
      </w:r>
    </w:p>
    <w:p w14:paraId="325396D7" w14:textId="77777777" w:rsidR="00466C51" w:rsidRPr="002947E8" w:rsidRDefault="00466C51" w:rsidP="00466C51">
      <w:pPr>
        <w:pStyle w:val="Hesber"/>
        <w:rPr>
          <w:rtl/>
        </w:rPr>
      </w:pPr>
      <w:r>
        <w:rPr>
          <w:rtl/>
        </w:rPr>
        <w:t>מדינת ישראל לא כוננה עד היום חוקה אך בית המשפט העליון קבע בפסק דין כי הכנסת יצרה נורמה חוקתית כאשר חוקקה את חוקי היסוד. לפיכך,  הדילמה המתוארת אשר עומדת לפתחן של מדינות שכוננו חוקה, רלוונטית גם ביחס למצב המשפטי הנוהג כיום בישראל לאור פסיקת בית המשפט.</w:t>
      </w:r>
    </w:p>
    <w:p w14:paraId="4BCE7D70" w14:textId="25EC0CC9" w:rsidR="00466C51" w:rsidRPr="002947E8" w:rsidRDefault="00466C51" w:rsidP="00466C51">
      <w:pPr>
        <w:pStyle w:val="Hesber"/>
        <w:rPr>
          <w:rtl/>
        </w:rPr>
      </w:pPr>
      <w:r w:rsidRPr="002947E8">
        <w:rPr>
          <w:rtl/>
        </w:rPr>
        <w:t xml:space="preserve">הפתרון המוצע בהצעה זו דומה בעיקרו למודל הקיים בקנדה ואשר </w:t>
      </w:r>
      <w:r w:rsidR="002B7402">
        <w:rPr>
          <w:rtl/>
        </w:rPr>
        <w:t>התקבל גם במדינת ישראל ביחס לחוק</w:t>
      </w:r>
      <w:r w:rsidR="002B7402">
        <w:rPr>
          <w:rFonts w:hint="cs"/>
          <w:rtl/>
        </w:rPr>
        <w:t>-</w:t>
      </w:r>
      <w:r w:rsidRPr="002947E8">
        <w:rPr>
          <w:rtl/>
        </w:rPr>
        <w:t>יסוד</w:t>
      </w:r>
      <w:r w:rsidR="002B7402">
        <w:rPr>
          <w:rFonts w:hint="cs"/>
          <w:rtl/>
        </w:rPr>
        <w:t>:</w:t>
      </w:r>
      <w:r w:rsidRPr="002947E8">
        <w:rPr>
          <w:rtl/>
        </w:rPr>
        <w:t xml:space="preserve"> חופש העיסוק. על פי מודל זה</w:t>
      </w:r>
      <w:r w:rsidR="002B7402">
        <w:rPr>
          <w:rFonts w:hint="cs"/>
          <w:rtl/>
        </w:rPr>
        <w:t>,</w:t>
      </w:r>
      <w:r w:rsidRPr="002947E8">
        <w:rPr>
          <w:rtl/>
        </w:rPr>
        <w:t xml:space="preserve"> האחריות לשמירת ערכיה החוקתיים של מדינת ישראל אינה מונחת לפתחה של הרשות השופטת באופן בלעדי, אלא גם ובעיקר לפתחה של הרשות המחוקקת תוך דו-שיח חוקתי ציבורי מעמיק. </w:t>
      </w:r>
    </w:p>
    <w:p w14:paraId="4BAF16EA" w14:textId="6FBDC649" w:rsidR="00466C51" w:rsidRPr="002947E8" w:rsidRDefault="00466C51" w:rsidP="00466C51">
      <w:pPr>
        <w:pStyle w:val="Hesber"/>
        <w:rPr>
          <w:rtl/>
        </w:rPr>
      </w:pPr>
      <w:r w:rsidRPr="002947E8">
        <w:rPr>
          <w:rtl/>
        </w:rPr>
        <w:t>על פי מודל זה</w:t>
      </w:r>
      <w:r w:rsidR="002B7402">
        <w:rPr>
          <w:rFonts w:hint="cs"/>
          <w:rtl/>
        </w:rPr>
        <w:t>,</w:t>
      </w:r>
      <w:r w:rsidRPr="002947E8">
        <w:rPr>
          <w:rtl/>
        </w:rPr>
        <w:t xml:space="preserve"> במצבים בהם קיימת מחלוקת ערכית אמתית בין נבחרי הציבור לבין שופטי בית המשפט בשאלת האיזון הראוי בין ערכי היסוד של המדינה, הדמוקרטיה מחייבת כי זכות המילה האחרונה תישמר לעם ולנבחריו באמצ</w:t>
      </w:r>
      <w:r w:rsidR="002B7402">
        <w:rPr>
          <w:rtl/>
        </w:rPr>
        <w:t>עות</w:t>
      </w:r>
      <w:r>
        <w:rPr>
          <w:rtl/>
        </w:rPr>
        <w:t xml:space="preserve"> חקיקה מחודשת של החוק שנפסל</w:t>
      </w:r>
      <w:r w:rsidRPr="002947E8">
        <w:rPr>
          <w:rtl/>
        </w:rPr>
        <w:t>, תוך ציון מפורש של מודעותם של נבחרי הציבור לעמדתו החולקת של בית ה</w:t>
      </w:r>
      <w:r w:rsidR="002B7402">
        <w:rPr>
          <w:rtl/>
        </w:rPr>
        <w:t>משפט ביחס לעמידת החוק בתנאי חוק</w:t>
      </w:r>
      <w:r w:rsidR="002B7402">
        <w:rPr>
          <w:rFonts w:hint="cs"/>
          <w:rtl/>
        </w:rPr>
        <w:t xml:space="preserve"> </w:t>
      </w:r>
      <w:r w:rsidRPr="002947E8">
        <w:rPr>
          <w:rtl/>
        </w:rPr>
        <w:t xml:space="preserve">היסוד. תהליך זה נותן משקל לבית המשפט בביקורת החוקתית אך יחד עם זאת שומר בסופו של התהליך על עקרון ריבונות העם. </w:t>
      </w:r>
    </w:p>
    <w:p w14:paraId="170EF80F" w14:textId="77777777" w:rsidR="00466C51" w:rsidRDefault="00466C51" w:rsidP="00466C51">
      <w:pPr>
        <w:pStyle w:val="Hesber"/>
        <w:rPr>
          <w:rtl/>
        </w:rPr>
      </w:pPr>
      <w:r w:rsidRPr="002947E8">
        <w:rPr>
          <w:rtl/>
        </w:rPr>
        <w:t xml:space="preserve">על מנת שהסדר ההתגברות לא ינוצל על ידי הרשות המחוקקת לפגיעה בערכי יסוד מתוך ראייה קצרת טווח </w:t>
      </w:r>
      <w:r>
        <w:rPr>
          <w:rtl/>
        </w:rPr>
        <w:t>בהקשר פוליטי מסוים</w:t>
      </w:r>
      <w:r w:rsidRPr="002947E8">
        <w:rPr>
          <w:rtl/>
        </w:rPr>
        <w:t xml:space="preserve">, תוקפה של חקיקה מחודשת של חוק אשר נפסל על ידי בית </w:t>
      </w:r>
      <w:r>
        <w:rPr>
          <w:rtl/>
        </w:rPr>
        <w:t>המשפט, תוגבל בשלב ראשון במשך הזמן</w:t>
      </w:r>
      <w:r w:rsidRPr="002947E8">
        <w:rPr>
          <w:rtl/>
        </w:rPr>
        <w:t>.</w:t>
      </w:r>
    </w:p>
    <w:p w14:paraId="344F2440" w14:textId="28B8DD4A" w:rsidR="00466C51" w:rsidRDefault="00466C51" w:rsidP="00466C51">
      <w:pPr>
        <w:pStyle w:val="Hesber"/>
        <w:rPr>
          <w:rtl/>
        </w:rPr>
      </w:pPr>
      <w:r>
        <w:rPr>
          <w:rtl/>
        </w:rPr>
        <w:t>יחד עם זאת, הצעת חוק זו שונה בשני היבטים מן ההסדר שנקבע</w:t>
      </w:r>
      <w:r w:rsidR="002B7402">
        <w:rPr>
          <w:rtl/>
        </w:rPr>
        <w:t xml:space="preserve"> בשעתו בחוק</w:t>
      </w:r>
      <w:r w:rsidR="002B7402">
        <w:rPr>
          <w:rFonts w:hint="cs"/>
          <w:rtl/>
        </w:rPr>
        <w:t>-</w:t>
      </w:r>
      <w:r>
        <w:rPr>
          <w:rtl/>
        </w:rPr>
        <w:t>יסוד: חופש העיסוק. הראשון הוא יכולתה של הכנסת לחוקק את החוק החורג בפעם השנייה בתוקף קבוע ובתנאי שהושבעה בינתיים כנסת חדשה. השני הוא הקביעה כי ההתגברות תתבצע בחוק שנחקק ברו</w:t>
      </w:r>
      <w:r w:rsidR="002B7402">
        <w:rPr>
          <w:rtl/>
        </w:rPr>
        <w:t>ב רגיל בדומה לאופן שבו נחקק חוק</w:t>
      </w:r>
      <w:r w:rsidR="002B7402">
        <w:rPr>
          <w:rFonts w:hint="cs"/>
          <w:rtl/>
        </w:rPr>
        <w:t>-</w:t>
      </w:r>
      <w:r>
        <w:rPr>
          <w:rtl/>
        </w:rPr>
        <w:t>יסוד</w:t>
      </w:r>
      <w:r w:rsidR="002B7402">
        <w:rPr>
          <w:rFonts w:hint="cs"/>
          <w:rtl/>
        </w:rPr>
        <w:t>:</w:t>
      </w:r>
      <w:r>
        <w:rPr>
          <w:rtl/>
        </w:rPr>
        <w:t xml:space="preserve"> כבוד האדם וחירותו. </w:t>
      </w:r>
    </w:p>
    <w:p w14:paraId="5B2E8C0E" w14:textId="7E790DE8" w:rsidR="00466C51" w:rsidRPr="002947E8" w:rsidRDefault="00466C51" w:rsidP="002B7402">
      <w:pPr>
        <w:pStyle w:val="Hesber"/>
        <w:rPr>
          <w:rtl/>
        </w:rPr>
      </w:pPr>
      <w:r>
        <w:rPr>
          <w:rtl/>
        </w:rPr>
        <w:t>הסיבה לשוני היא שבמצב שבו שתי כנסות שונות קובעות כי מוצדק להתגבר על הזכות, בטל החשש ממחטף בלתי הגון ולכן מוצע לקבוע כי במצב זה</w:t>
      </w:r>
      <w:r w:rsidR="002B7402">
        <w:rPr>
          <w:rtl/>
        </w:rPr>
        <w:t xml:space="preserve"> ההתגברות תהיה בעלת תוקף קבוע. </w:t>
      </w:r>
      <w:r>
        <w:rPr>
          <w:rtl/>
        </w:rPr>
        <w:t>הס</w:t>
      </w:r>
      <w:r w:rsidR="002B7402">
        <w:rPr>
          <w:rtl/>
        </w:rPr>
        <w:t>יבה לשוני השני היא שבניגוד לחוק</w:t>
      </w:r>
      <w:r w:rsidR="002B7402">
        <w:rPr>
          <w:rFonts w:hint="cs"/>
          <w:rtl/>
        </w:rPr>
        <w:t>-</w:t>
      </w:r>
      <w:r>
        <w:rPr>
          <w:rtl/>
        </w:rPr>
        <w:t>יסוד</w:t>
      </w:r>
      <w:r w:rsidR="002B7402">
        <w:rPr>
          <w:rFonts w:hint="cs"/>
          <w:rtl/>
        </w:rPr>
        <w:t>:</w:t>
      </w:r>
      <w:r>
        <w:rPr>
          <w:rtl/>
        </w:rPr>
        <w:t xml:space="preserve"> חופש העיסוק שנחקק בשנת 199</w:t>
      </w:r>
      <w:r w:rsidR="002B7402">
        <w:rPr>
          <w:rtl/>
        </w:rPr>
        <w:t>4 ברוב מוחלט של חברי הכנסת, חוק</w:t>
      </w:r>
      <w:r w:rsidR="002B7402">
        <w:rPr>
          <w:rFonts w:hint="cs"/>
          <w:rtl/>
        </w:rPr>
        <w:t>-</w:t>
      </w:r>
      <w:r>
        <w:rPr>
          <w:rtl/>
        </w:rPr>
        <w:t>יסוד</w:t>
      </w:r>
      <w:r w:rsidR="002B7402">
        <w:rPr>
          <w:rFonts w:hint="cs"/>
          <w:rtl/>
        </w:rPr>
        <w:t>:</w:t>
      </w:r>
      <w:r>
        <w:rPr>
          <w:rtl/>
        </w:rPr>
        <w:t xml:space="preserve"> כבוד האדם וחירותו נחקק בקולותיהם של 32 חברי כנסת בלבד. אין זה מתקבל על הדעת לדרוש רוב מוחלט כדי לחרוג באופן זמני מחוק שנחקק ברוב רגיל. ית</w:t>
      </w:r>
      <w:r w:rsidR="002B7402">
        <w:rPr>
          <w:rFonts w:hint="cs"/>
          <w:rtl/>
        </w:rPr>
        <w:t>י</w:t>
      </w:r>
      <w:r>
        <w:rPr>
          <w:rtl/>
        </w:rPr>
        <w:t xml:space="preserve">רה מכך, בניגוד לחוק יסוד </w:t>
      </w:r>
      <w:r w:rsidR="00E1056A">
        <w:rPr>
          <w:rtl/>
        </w:rPr>
        <w:t>חופש העיסוק שמכיל סעיף ש</w:t>
      </w:r>
      <w:r>
        <w:rPr>
          <w:rtl/>
        </w:rPr>
        <w:t>ריון שמגן עליו מפני שינוי ברוב רגיל, הכנסת סירבה להצעת החוק המקורית של ח</w:t>
      </w:r>
      <w:r w:rsidR="002B7402">
        <w:rPr>
          <w:rFonts w:hint="cs"/>
          <w:rtl/>
        </w:rPr>
        <w:t>בר הכנסת</w:t>
      </w:r>
      <w:r>
        <w:rPr>
          <w:rtl/>
        </w:rPr>
        <w:t xml:space="preserve"> אמנון </w:t>
      </w:r>
      <w:r>
        <w:rPr>
          <w:rtl/>
        </w:rPr>
        <w:lastRenderedPageBreak/>
        <w:t>ר</w:t>
      </w:r>
      <w:r w:rsidR="002B7402">
        <w:rPr>
          <w:rtl/>
        </w:rPr>
        <w:t>ובינשטיין והסירה מחוק</w:t>
      </w:r>
      <w:r w:rsidR="002B7402">
        <w:rPr>
          <w:rFonts w:hint="cs"/>
          <w:rtl/>
        </w:rPr>
        <w:t>-</w:t>
      </w:r>
      <w:r>
        <w:rPr>
          <w:rtl/>
        </w:rPr>
        <w:t>יס</w:t>
      </w:r>
      <w:r w:rsidR="00E1056A">
        <w:rPr>
          <w:rtl/>
        </w:rPr>
        <w:t>וד</w:t>
      </w:r>
      <w:r w:rsidR="002B7402">
        <w:rPr>
          <w:rFonts w:hint="cs"/>
          <w:rtl/>
        </w:rPr>
        <w:t>:</w:t>
      </w:r>
      <w:r w:rsidR="00E1056A">
        <w:rPr>
          <w:rtl/>
        </w:rPr>
        <w:t xml:space="preserve"> כבוד האדם וחירותו את סעיף הש</w:t>
      </w:r>
      <w:r>
        <w:rPr>
          <w:rtl/>
        </w:rPr>
        <w:t>ריון</w:t>
      </w:r>
      <w:r w:rsidR="002B7402">
        <w:rPr>
          <w:rtl/>
        </w:rPr>
        <w:t>. אם ניתן לשנות ואף לבטל את חוק</w:t>
      </w:r>
      <w:r w:rsidR="002B7402">
        <w:rPr>
          <w:rFonts w:hint="cs"/>
          <w:rtl/>
        </w:rPr>
        <w:t>-</w:t>
      </w:r>
      <w:r>
        <w:rPr>
          <w:rtl/>
        </w:rPr>
        <w:t>יסוד</w:t>
      </w:r>
      <w:r w:rsidR="002B7402">
        <w:rPr>
          <w:rFonts w:hint="cs"/>
          <w:rtl/>
        </w:rPr>
        <w:t>:</w:t>
      </w:r>
      <w:r>
        <w:rPr>
          <w:rtl/>
        </w:rPr>
        <w:t xml:space="preserve"> כבוד האדם וחירותו ברוב רגיל, יהיה זה חוסר היגיון לקבוע כי חוק הגובר אליו באופן נקודתי וזמני ידרוש רוב מוחלט. לבסוף, גם בחוקה הקנדית, שהיא מקור ההשראה לרעיון ההתגברות, הרוב הנדרש לשם התגברות הוא רוב רגיל. לכן, בישראל שבה בית המשפט השתית מהפכה חוקתית על העמדה שלפיה הכנסת מוסמכת לכונן חוקה ברוב רגיל, מתבקש שהכנסת תוכל להתגבר ברוב רגיל מקל וחומר.  </w:t>
      </w:r>
    </w:p>
    <w:p w14:paraId="7E56711D" w14:textId="511E9FCB" w:rsidR="00E64150" w:rsidRDefault="00E64150" w:rsidP="00C255EB">
      <w:pPr>
        <w:pStyle w:val="Hesber"/>
        <w:rPr>
          <w:rtl/>
        </w:rPr>
      </w:pPr>
      <w:r w:rsidRPr="003B717A">
        <w:rPr>
          <w:rtl/>
        </w:rPr>
        <w:t>הצע</w:t>
      </w:r>
      <w:r w:rsidRPr="003B717A">
        <w:rPr>
          <w:rFonts w:hint="cs"/>
          <w:rtl/>
        </w:rPr>
        <w:t>ו</w:t>
      </w:r>
      <w:r w:rsidR="001B1125" w:rsidRPr="003B717A">
        <w:rPr>
          <w:rtl/>
        </w:rPr>
        <w:t xml:space="preserve">ת חוק </w:t>
      </w:r>
      <w:r w:rsidR="001B1125" w:rsidRPr="003B717A">
        <w:rPr>
          <w:rFonts w:hint="cs"/>
          <w:rtl/>
        </w:rPr>
        <w:t>דומות</w:t>
      </w:r>
      <w:r w:rsidRPr="003B717A">
        <w:rPr>
          <w:rtl/>
        </w:rPr>
        <w:t xml:space="preserve"> </w:t>
      </w:r>
      <w:r w:rsidR="00466C51">
        <w:rPr>
          <w:rFonts w:hint="cs"/>
          <w:rtl/>
        </w:rPr>
        <w:t xml:space="preserve">בעיקרן </w:t>
      </w:r>
      <w:r w:rsidRPr="003B717A">
        <w:rPr>
          <w:rtl/>
        </w:rPr>
        <w:t xml:space="preserve">הונחו על שולחן הכנסת </w:t>
      </w:r>
      <w:r w:rsidRPr="003B717A">
        <w:rPr>
          <w:rFonts w:hint="cs"/>
          <w:rtl/>
        </w:rPr>
        <w:t xml:space="preserve">השמונה-עשרה </w:t>
      </w:r>
      <w:r w:rsidRPr="003B717A">
        <w:rPr>
          <w:rtl/>
        </w:rPr>
        <w:t>על ידי חברי הכנסת משה גפני ואורי מקלב (פ/1891/18)</w:t>
      </w:r>
      <w:r w:rsidR="003B717A">
        <w:rPr>
          <w:rFonts w:hint="cs"/>
          <w:rtl/>
        </w:rPr>
        <w:t>,</w:t>
      </w:r>
      <w:r w:rsidRPr="003B717A">
        <w:rPr>
          <w:rFonts w:hint="cs"/>
          <w:rtl/>
        </w:rPr>
        <w:t xml:space="preserve"> ועל שולחן הכנסת </w:t>
      </w:r>
      <w:r w:rsidRPr="003B717A">
        <w:rPr>
          <w:rtl/>
        </w:rPr>
        <w:t>התשע</w:t>
      </w:r>
      <w:r w:rsidRPr="003B717A">
        <w:rPr>
          <w:rFonts w:hint="cs"/>
          <w:rtl/>
        </w:rPr>
        <w:t>-</w:t>
      </w:r>
      <w:r w:rsidRPr="003B717A">
        <w:rPr>
          <w:rtl/>
        </w:rPr>
        <w:t>עשרה על ידי חבר</w:t>
      </w:r>
      <w:r w:rsidR="00C255EB">
        <w:rPr>
          <w:rFonts w:hint="cs"/>
          <w:rtl/>
        </w:rPr>
        <w:t>ת</w:t>
      </w:r>
      <w:r w:rsidRPr="003B717A">
        <w:rPr>
          <w:rtl/>
        </w:rPr>
        <w:t xml:space="preserve"> הכנסת </w:t>
      </w:r>
      <w:r w:rsidRPr="003B717A">
        <w:rPr>
          <w:rFonts w:hint="cs"/>
          <w:rtl/>
        </w:rPr>
        <w:t>איילת שקד</w:t>
      </w:r>
      <w:r w:rsidR="003B717A" w:rsidRPr="003B717A">
        <w:rPr>
          <w:rFonts w:hint="cs"/>
          <w:rtl/>
        </w:rPr>
        <w:t xml:space="preserve"> וקבוצת חברי הכנסת</w:t>
      </w:r>
      <w:r w:rsidRPr="003B717A">
        <w:rPr>
          <w:rFonts w:hint="cs"/>
          <w:rtl/>
        </w:rPr>
        <w:t xml:space="preserve"> (פ/1944/19).</w:t>
      </w:r>
    </w:p>
    <w:p w14:paraId="13AB3EE5" w14:textId="37A92084" w:rsidR="00727623" w:rsidRDefault="00727623" w:rsidP="00C255EB">
      <w:pPr>
        <w:pStyle w:val="Hesber"/>
        <w:rPr>
          <w:rtl/>
        </w:rPr>
      </w:pPr>
    </w:p>
    <w:p w14:paraId="0AA6AF8B" w14:textId="77777777" w:rsidR="00727623" w:rsidRDefault="00727623" w:rsidP="00C255EB">
      <w:pPr>
        <w:pStyle w:val="Hesber"/>
        <w:rPr>
          <w:rtl/>
        </w:rPr>
      </w:pPr>
    </w:p>
    <w:p w14:paraId="7CDDAA12" w14:textId="77777777" w:rsidR="00727623" w:rsidRDefault="00727623" w:rsidP="00727623">
      <w:pPr>
        <w:pStyle w:val="Hesber"/>
        <w:rPr>
          <w:rtl/>
        </w:rPr>
      </w:pPr>
      <w:r>
        <w:rPr>
          <w:rtl/>
        </w:rPr>
        <w:t>---------------------------------</w:t>
      </w:r>
    </w:p>
    <w:p w14:paraId="5ED27DE2" w14:textId="77777777" w:rsidR="00727623" w:rsidRDefault="00727623" w:rsidP="00727623">
      <w:pPr>
        <w:pStyle w:val="Hesber"/>
        <w:rPr>
          <w:rtl/>
        </w:rPr>
      </w:pPr>
      <w:r>
        <w:rPr>
          <w:rtl/>
        </w:rPr>
        <w:t>הוגשה ליו"ר הכנסת והסגנים</w:t>
      </w:r>
    </w:p>
    <w:p w14:paraId="4C341EFE" w14:textId="77777777" w:rsidR="00727623" w:rsidRDefault="00727623" w:rsidP="00727623">
      <w:pPr>
        <w:pStyle w:val="Hesber"/>
        <w:rPr>
          <w:rtl/>
        </w:rPr>
      </w:pPr>
      <w:r>
        <w:rPr>
          <w:rtl/>
        </w:rPr>
        <w:t>והונחה על שולחן הכנסת ביום</w:t>
      </w:r>
    </w:p>
    <w:p w14:paraId="395EA429" w14:textId="0695D297" w:rsidR="00727623" w:rsidRPr="003B717A" w:rsidRDefault="00727623" w:rsidP="00727623">
      <w:pPr>
        <w:pStyle w:val="Hesber"/>
        <w:rPr>
          <w:rtl/>
        </w:rPr>
      </w:pPr>
      <w:r>
        <w:rPr>
          <w:rtl/>
        </w:rPr>
        <w:t>ט"ז באדר התשע"ז - 14.3.17</w:t>
      </w:r>
      <w:bookmarkStart w:id="7" w:name="_GoBack"/>
      <w:bookmarkEnd w:id="7"/>
    </w:p>
    <w:p w14:paraId="027CFA92" w14:textId="77777777" w:rsidR="00E64150" w:rsidRDefault="00E64150" w:rsidP="001B1125">
      <w:pPr>
        <w:pStyle w:val="HeadDivreiHesber"/>
        <w:jc w:val="both"/>
        <w:rPr>
          <w:rtl/>
        </w:rPr>
      </w:pPr>
    </w:p>
    <w:p w14:paraId="7F6961CB" w14:textId="77777777" w:rsidR="00E13C27" w:rsidRDefault="00E13C27" w:rsidP="001B1125">
      <w:pPr>
        <w:pStyle w:val="Hesber"/>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727623">
      <w:rPr>
        <w:rStyle w:val="ab"/>
        <w:noProof/>
        <w:rtl/>
      </w:rPr>
      <w:t>3</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09B6BB05" w14:textId="77777777" w:rsidR="00E64150" w:rsidRDefault="00E64150" w:rsidP="00E64150">
      <w:pPr>
        <w:pStyle w:val="a4"/>
      </w:pPr>
      <w:r>
        <w:rPr>
          <w:rStyle w:val="a6"/>
        </w:rPr>
        <w:footnoteRef/>
      </w:r>
      <w:r>
        <w:rPr>
          <w:sz w:val="20"/>
          <w:rtl/>
        </w:rPr>
        <w:t xml:space="preserve"> ס"ח התשנ"ב, עמ' 150.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B1125"/>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B7402"/>
    <w:rsid w:val="002C2E29"/>
    <w:rsid w:val="002C3041"/>
    <w:rsid w:val="002D1EE3"/>
    <w:rsid w:val="002F1D80"/>
    <w:rsid w:val="003232A2"/>
    <w:rsid w:val="00325C14"/>
    <w:rsid w:val="0036422C"/>
    <w:rsid w:val="003710F6"/>
    <w:rsid w:val="00386E88"/>
    <w:rsid w:val="00396585"/>
    <w:rsid w:val="003B717A"/>
    <w:rsid w:val="003D6E38"/>
    <w:rsid w:val="003D74A0"/>
    <w:rsid w:val="004033D8"/>
    <w:rsid w:val="004073F0"/>
    <w:rsid w:val="00412A7D"/>
    <w:rsid w:val="00416B4D"/>
    <w:rsid w:val="00417CFC"/>
    <w:rsid w:val="00466C51"/>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27623"/>
    <w:rsid w:val="00735FE9"/>
    <w:rsid w:val="00763CAA"/>
    <w:rsid w:val="00765F66"/>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255EB"/>
    <w:rsid w:val="00C310EB"/>
    <w:rsid w:val="00C9176A"/>
    <w:rsid w:val="00CF1AA2"/>
    <w:rsid w:val="00D17774"/>
    <w:rsid w:val="00D63620"/>
    <w:rsid w:val="00D8410D"/>
    <w:rsid w:val="00D867D7"/>
    <w:rsid w:val="00DB7060"/>
    <w:rsid w:val="00DE3153"/>
    <w:rsid w:val="00E06736"/>
    <w:rsid w:val="00E1056A"/>
    <w:rsid w:val="00E13C27"/>
    <w:rsid w:val="00E33BBD"/>
    <w:rsid w:val="00E374F2"/>
    <w:rsid w:val="00E45103"/>
    <w:rsid w:val="00E55A60"/>
    <w:rsid w:val="00E62778"/>
    <w:rsid w:val="00E63D38"/>
    <w:rsid w:val="00E64150"/>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locked/>
    <w:rsid w:val="00E64150"/>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80111">
      <w:bodyDiv w:val="1"/>
      <w:marLeft w:val="0"/>
      <w:marRight w:val="0"/>
      <w:marTop w:val="0"/>
      <w:marBottom w:val="0"/>
      <w:divBdr>
        <w:top w:val="none" w:sz="0" w:space="0" w:color="auto"/>
        <w:left w:val="none" w:sz="0" w:space="0" w:color="auto"/>
        <w:bottom w:val="none" w:sz="0" w:space="0" w:color="auto"/>
        <w:right w:val="none" w:sz="0" w:space="0" w:color="auto"/>
      </w:divBdr>
    </w:div>
    <w:div w:id="1387490804">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D09E-AAD4-41A9-BF57-AA289D58A9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E189D89-BA14-4921-B95A-ECF6DB9D2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758</Words>
  <Characters>3793</Characters>
  <Application>Microsoft Office Word</Application>
  <DocSecurity>0</DocSecurity>
  <Lines>31</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9</cp:revision>
  <cp:lastPrinted>2017-03-09T09:57:00Z</cp:lastPrinted>
  <dcterms:created xsi:type="dcterms:W3CDTF">2015-04-20T09:58:00Z</dcterms:created>
  <dcterms:modified xsi:type="dcterms:W3CDTF">2017-03-09T09:57:00Z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2013405</vt:r8>
  </property>
</Properties>
</file>