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4FBF524D" w:rsidR="002C2E29" w:rsidRPr="0000131B" w:rsidRDefault="0081697E" w:rsidP="00A443CF">
      <w:pPr>
        <w:pStyle w:val="HeadHatzaotHok"/>
        <w:jc w:val="right"/>
        <w:rPr>
          <w:b w:val="0"/>
          <w:bCs w:val="0"/>
          <w:szCs w:val="20"/>
        </w:rPr>
      </w:pPr>
      <w:r>
        <w:rPr>
          <w:rFonts w:hint="cs"/>
          <w:b w:val="0"/>
          <w:bCs w:val="0"/>
          <w:szCs w:val="20"/>
          <w:rtl/>
        </w:rPr>
        <w:t xml:space="preserve"> </w:t>
      </w:r>
      <w:r w:rsidR="004033D8" w:rsidRPr="0000131B">
        <w:rPr>
          <w:rFonts w:hint="cs"/>
          <w:b w:val="0"/>
          <w:bCs w:val="0"/>
          <w:szCs w:val="20"/>
          <w:rtl/>
        </w:rPr>
        <w:t xml:space="preserve">מספר פנימי: </w:t>
      </w:r>
      <w:bookmarkStart w:id="0" w:name="LGS_Internal_ID"/>
      <w:r w:rsidR="004033D8">
        <w:rPr>
          <w:rFonts w:hint="cs"/>
          <w:b w:val="0"/>
          <w:bCs w:val="0"/>
          <w:szCs w:val="20"/>
          <w:rtl/>
        </w:rPr>
        <w:t>2013039</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עודד פורר</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פ/3915/20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Pr="00F67051" w:rsidRDefault="00A443CF" w:rsidP="0021633A">
      <w:pPr>
        <w:pStyle w:val="HeadHatzaotHok"/>
        <w:rPr>
          <w:rtl/>
        </w:rPr>
      </w:pPr>
      <w:bookmarkStart w:id="7" w:name="LGS_Subject"/>
      <w:r>
        <w:rPr>
          <w:rFonts w:hint="cs"/>
          <w:rtl/>
        </w:rPr>
        <w:t>הצעת חוק הרשויות המקומיות (בחירות) (תיקון – בחירה של בעל עסק בתחום רשות מקומית שעסקו רשום בה), התשע"ז–2017</w:t>
      </w:r>
      <w:bookmarkEnd w:id="7"/>
    </w:p>
    <w:tbl>
      <w:tblPr>
        <w:bidiVisual/>
        <w:tblW w:w="9639" w:type="dxa"/>
        <w:tblLayout w:type="fixed"/>
        <w:tblCellMar>
          <w:top w:w="57" w:type="dxa"/>
          <w:left w:w="0" w:type="dxa"/>
          <w:bottom w:w="57" w:type="dxa"/>
          <w:right w:w="0" w:type="dxa"/>
        </w:tblCellMar>
        <w:tblLook w:val="01E0" w:firstRow="1" w:lastRow="1" w:firstColumn="1" w:lastColumn="1" w:noHBand="0" w:noVBand="0"/>
      </w:tblPr>
      <w:tblGrid>
        <w:gridCol w:w="1872"/>
        <w:gridCol w:w="624"/>
        <w:gridCol w:w="624"/>
        <w:gridCol w:w="6519"/>
      </w:tblGrid>
      <w:tr w:rsidR="00915224" w14:paraId="3F3B9417" w14:textId="77777777" w:rsidTr="007538F6">
        <w:trPr>
          <w:cantSplit/>
        </w:trPr>
        <w:tc>
          <w:tcPr>
            <w:tcW w:w="1872" w:type="dxa"/>
            <w:hideMark/>
          </w:tcPr>
          <w:p w14:paraId="667B085F" w14:textId="77777777" w:rsidR="00915224" w:rsidRDefault="00915224" w:rsidP="007538F6">
            <w:pPr>
              <w:pStyle w:val="TableSideHeading"/>
              <w:keepLines w:val="0"/>
            </w:pPr>
            <w:r>
              <w:rPr>
                <w:rFonts w:hint="cs"/>
                <w:rtl/>
              </w:rPr>
              <w:t>תיקון סעיף 1</w:t>
            </w:r>
          </w:p>
        </w:tc>
        <w:tc>
          <w:tcPr>
            <w:tcW w:w="624" w:type="dxa"/>
            <w:hideMark/>
          </w:tcPr>
          <w:p w14:paraId="18FD0792" w14:textId="77777777" w:rsidR="00915224" w:rsidRDefault="00915224" w:rsidP="007538F6">
            <w:pPr>
              <w:pStyle w:val="TableText"/>
              <w:keepLines w:val="0"/>
            </w:pPr>
            <w:r>
              <w:rPr>
                <w:rFonts w:hint="cs"/>
                <w:rtl/>
              </w:rPr>
              <w:t>1.</w:t>
            </w:r>
          </w:p>
        </w:tc>
        <w:tc>
          <w:tcPr>
            <w:tcW w:w="7143" w:type="dxa"/>
            <w:gridSpan w:val="2"/>
            <w:hideMark/>
          </w:tcPr>
          <w:p w14:paraId="3E182476" w14:textId="77777777" w:rsidR="00915224" w:rsidRDefault="00915224" w:rsidP="007538F6">
            <w:pPr>
              <w:pStyle w:val="TableBlock"/>
            </w:pPr>
            <w:r>
              <w:rPr>
                <w:rFonts w:hint="cs"/>
                <w:rtl/>
              </w:rPr>
              <w:t>בחוק הרשויות המקומיות (בחירות), התשכ"ה–1965</w:t>
            </w:r>
            <w:r>
              <w:rPr>
                <w:vertAlign w:val="superscript"/>
                <w:rtl/>
              </w:rPr>
              <w:footnoteReference w:id="2"/>
            </w:r>
            <w:r>
              <w:rPr>
                <w:rFonts w:hint="cs"/>
                <w:rtl/>
              </w:rPr>
              <w:t xml:space="preserve"> (להלן – החוק עיקרי), בסעיף 1, אחרי "בחוק זה" יבוא:</w:t>
            </w:r>
          </w:p>
        </w:tc>
      </w:tr>
      <w:tr w:rsidR="00915224" w14:paraId="2AF111C7" w14:textId="77777777" w:rsidTr="007538F6">
        <w:trPr>
          <w:cantSplit/>
        </w:trPr>
        <w:tc>
          <w:tcPr>
            <w:tcW w:w="1872" w:type="dxa"/>
          </w:tcPr>
          <w:p w14:paraId="6BAD0C4C" w14:textId="77777777" w:rsidR="00915224" w:rsidRDefault="00915224" w:rsidP="007538F6">
            <w:pPr>
              <w:pStyle w:val="TableSideHeading"/>
              <w:keepLines w:val="0"/>
            </w:pPr>
          </w:p>
        </w:tc>
        <w:tc>
          <w:tcPr>
            <w:tcW w:w="624" w:type="dxa"/>
          </w:tcPr>
          <w:p w14:paraId="68BDA68F" w14:textId="77777777" w:rsidR="00915224" w:rsidRDefault="00915224" w:rsidP="007538F6">
            <w:pPr>
              <w:pStyle w:val="TableText"/>
            </w:pPr>
          </w:p>
        </w:tc>
        <w:tc>
          <w:tcPr>
            <w:tcW w:w="7143" w:type="dxa"/>
            <w:gridSpan w:val="2"/>
            <w:hideMark/>
          </w:tcPr>
          <w:p w14:paraId="4EABABF7" w14:textId="77777777" w:rsidR="00915224" w:rsidRDefault="00915224" w:rsidP="007538F6">
            <w:pPr>
              <w:pStyle w:val="TableBlock"/>
            </w:pPr>
            <w:r>
              <w:rPr>
                <w:rFonts w:hint="cs"/>
                <w:rtl/>
              </w:rPr>
              <w:t>""בעל בית עסק" – אחד מאלה:</w:t>
            </w:r>
            <w:r>
              <w:rPr>
                <w:rFonts w:hint="cs"/>
                <w:rtl/>
              </w:rPr>
              <w:tab/>
            </w:r>
          </w:p>
        </w:tc>
      </w:tr>
      <w:tr w:rsidR="00915224" w14:paraId="5E38F6B1" w14:textId="77777777" w:rsidTr="007538F6">
        <w:trPr>
          <w:cantSplit/>
        </w:trPr>
        <w:tc>
          <w:tcPr>
            <w:tcW w:w="1872" w:type="dxa"/>
          </w:tcPr>
          <w:p w14:paraId="7D43BA1C" w14:textId="77777777" w:rsidR="00915224" w:rsidRDefault="00915224" w:rsidP="007538F6">
            <w:pPr>
              <w:pStyle w:val="TableSideHeading"/>
            </w:pPr>
          </w:p>
        </w:tc>
        <w:tc>
          <w:tcPr>
            <w:tcW w:w="624" w:type="dxa"/>
          </w:tcPr>
          <w:p w14:paraId="2A47B491" w14:textId="77777777" w:rsidR="00915224" w:rsidRDefault="00915224" w:rsidP="007538F6">
            <w:pPr>
              <w:pStyle w:val="TableText"/>
            </w:pPr>
          </w:p>
        </w:tc>
        <w:tc>
          <w:tcPr>
            <w:tcW w:w="624" w:type="dxa"/>
          </w:tcPr>
          <w:p w14:paraId="1BE6E3D6" w14:textId="77777777" w:rsidR="00915224" w:rsidRDefault="00915224" w:rsidP="007538F6">
            <w:pPr>
              <w:pStyle w:val="TableText"/>
            </w:pPr>
          </w:p>
        </w:tc>
        <w:tc>
          <w:tcPr>
            <w:tcW w:w="6519" w:type="dxa"/>
            <w:hideMark/>
          </w:tcPr>
          <w:p w14:paraId="03BF5553" w14:textId="77777777" w:rsidR="00915224" w:rsidRDefault="00915224" w:rsidP="007538F6">
            <w:pPr>
              <w:pStyle w:val="TableBlock"/>
            </w:pPr>
            <w:r>
              <w:rPr>
                <w:rFonts w:hint="cs"/>
                <w:rtl/>
              </w:rPr>
              <w:t>(1)</w:t>
            </w:r>
            <w:r>
              <w:rPr>
                <w:rFonts w:hint="cs"/>
                <w:rtl/>
              </w:rPr>
              <w:tab/>
              <w:t>יחיד שהוא בעל היתר או רישיון הדרושים לפי כל דין להפעלת או לניהול בית העסק או לעיסוק בעסק, או מי שעליו מוטלת חובה לקבל היתר או רישיון כאמור;</w:t>
            </w:r>
          </w:p>
        </w:tc>
      </w:tr>
      <w:tr w:rsidR="00915224" w14:paraId="63ACDD75" w14:textId="77777777" w:rsidTr="007538F6">
        <w:trPr>
          <w:cantSplit/>
        </w:trPr>
        <w:tc>
          <w:tcPr>
            <w:tcW w:w="1872" w:type="dxa"/>
          </w:tcPr>
          <w:p w14:paraId="4A5CBE37" w14:textId="77777777" w:rsidR="00915224" w:rsidRDefault="00915224" w:rsidP="007538F6">
            <w:pPr>
              <w:pStyle w:val="TableSideHeading"/>
            </w:pPr>
          </w:p>
        </w:tc>
        <w:tc>
          <w:tcPr>
            <w:tcW w:w="624" w:type="dxa"/>
          </w:tcPr>
          <w:p w14:paraId="62FA1C9E" w14:textId="77777777" w:rsidR="00915224" w:rsidRDefault="00915224" w:rsidP="007538F6">
            <w:pPr>
              <w:pStyle w:val="TableText"/>
            </w:pPr>
          </w:p>
        </w:tc>
        <w:tc>
          <w:tcPr>
            <w:tcW w:w="624" w:type="dxa"/>
          </w:tcPr>
          <w:p w14:paraId="3028D508" w14:textId="77777777" w:rsidR="00915224" w:rsidRDefault="00915224" w:rsidP="007538F6">
            <w:pPr>
              <w:pStyle w:val="TableText"/>
            </w:pPr>
          </w:p>
        </w:tc>
        <w:tc>
          <w:tcPr>
            <w:tcW w:w="6519" w:type="dxa"/>
            <w:hideMark/>
          </w:tcPr>
          <w:p w14:paraId="29816282" w14:textId="77777777" w:rsidR="00915224" w:rsidRDefault="00915224" w:rsidP="007538F6">
            <w:pPr>
              <w:pStyle w:val="TableBlock"/>
            </w:pPr>
            <w:r>
              <w:rPr>
                <w:rFonts w:hint="cs"/>
                <w:rtl/>
              </w:rPr>
              <w:t>(2)</w:t>
            </w:r>
            <w:r>
              <w:rPr>
                <w:rFonts w:hint="cs"/>
                <w:rtl/>
              </w:rPr>
              <w:tab/>
              <w:t>יחיד שהוא מחזיק ב-25% או יותר מאמצעי השליטה בתאגיד;".</w:t>
            </w:r>
          </w:p>
        </w:tc>
      </w:tr>
      <w:tr w:rsidR="00915224" w14:paraId="01B35E9C" w14:textId="77777777" w:rsidTr="007538F6">
        <w:trPr>
          <w:cantSplit/>
        </w:trPr>
        <w:tc>
          <w:tcPr>
            <w:tcW w:w="1872" w:type="dxa"/>
            <w:hideMark/>
          </w:tcPr>
          <w:p w14:paraId="79B8AF3C" w14:textId="77777777" w:rsidR="00915224" w:rsidRDefault="00915224" w:rsidP="007538F6">
            <w:pPr>
              <w:pStyle w:val="TableSideHeading"/>
              <w:keepLines w:val="0"/>
            </w:pPr>
            <w:r>
              <w:rPr>
                <w:rFonts w:hint="cs"/>
                <w:rtl/>
              </w:rPr>
              <w:t>תיקון סעיף 11</w:t>
            </w:r>
          </w:p>
        </w:tc>
        <w:tc>
          <w:tcPr>
            <w:tcW w:w="624" w:type="dxa"/>
            <w:hideMark/>
          </w:tcPr>
          <w:p w14:paraId="3D2799EB" w14:textId="77777777" w:rsidR="00915224" w:rsidRDefault="00915224" w:rsidP="007538F6">
            <w:pPr>
              <w:pStyle w:val="TableText"/>
            </w:pPr>
            <w:r>
              <w:rPr>
                <w:rFonts w:hint="cs"/>
                <w:rtl/>
              </w:rPr>
              <w:t>2.</w:t>
            </w:r>
          </w:p>
        </w:tc>
        <w:tc>
          <w:tcPr>
            <w:tcW w:w="7143" w:type="dxa"/>
            <w:gridSpan w:val="2"/>
            <w:hideMark/>
          </w:tcPr>
          <w:p w14:paraId="33488F6F" w14:textId="77777777" w:rsidR="00915224" w:rsidRDefault="00915224" w:rsidP="007538F6">
            <w:pPr>
              <w:pStyle w:val="TableBlock"/>
            </w:pPr>
            <w:r>
              <w:rPr>
                <w:rFonts w:hint="cs"/>
                <w:rtl/>
              </w:rPr>
              <w:t xml:space="preserve">בסעיף 11 לחוק העיקרי, אחרי "ומענו" יבוא "או מען בית העסק שלו, אם החליט כאמור בסעיף 13(א1)", אחרי "בתקופה האמורה" יבוא "ולעניין החלטה כאמור בסעיף 13(א1), מי שבתוך 12 החודשים שקדמו ליום הבחירות לא היה בעל בית עסק בתחום אותה רשות מקומית", ואחרי ההגדרה "מען" יבוא:  </w:t>
            </w:r>
          </w:p>
        </w:tc>
      </w:tr>
      <w:tr w:rsidR="00915224" w14:paraId="6A6481BC" w14:textId="77777777" w:rsidTr="007538F6">
        <w:trPr>
          <w:cantSplit/>
        </w:trPr>
        <w:tc>
          <w:tcPr>
            <w:tcW w:w="1872" w:type="dxa"/>
          </w:tcPr>
          <w:p w14:paraId="59412C82" w14:textId="77777777" w:rsidR="00915224" w:rsidRDefault="00915224" w:rsidP="007538F6">
            <w:pPr>
              <w:pStyle w:val="TableSideHeading"/>
            </w:pPr>
          </w:p>
        </w:tc>
        <w:tc>
          <w:tcPr>
            <w:tcW w:w="624" w:type="dxa"/>
          </w:tcPr>
          <w:p w14:paraId="34556D04" w14:textId="77777777" w:rsidR="00915224" w:rsidRDefault="00915224" w:rsidP="007538F6">
            <w:pPr>
              <w:pStyle w:val="TableText"/>
            </w:pPr>
          </w:p>
        </w:tc>
        <w:tc>
          <w:tcPr>
            <w:tcW w:w="7143" w:type="dxa"/>
            <w:gridSpan w:val="2"/>
          </w:tcPr>
          <w:p w14:paraId="4C44119D" w14:textId="77777777" w:rsidR="00915224" w:rsidRDefault="00915224" w:rsidP="007538F6">
            <w:pPr>
              <w:pStyle w:val="TableBlockOutdent"/>
            </w:pPr>
            <w:r>
              <w:rPr>
                <w:rFonts w:hint="cs"/>
                <w:rtl/>
              </w:rPr>
              <w:t>""מען בית העסק" – מקום בית העסק העיקרי הרשום בספרי הרשות ומקומית, ולעניין תאגיד מקום משרדו הרשום."</w:t>
            </w:r>
          </w:p>
        </w:tc>
      </w:tr>
      <w:tr w:rsidR="00915224" w14:paraId="6BB8F8CB" w14:textId="77777777" w:rsidTr="007538F6">
        <w:trPr>
          <w:cantSplit/>
        </w:trPr>
        <w:tc>
          <w:tcPr>
            <w:tcW w:w="1872" w:type="dxa"/>
            <w:hideMark/>
          </w:tcPr>
          <w:p w14:paraId="2CD1F100" w14:textId="77777777" w:rsidR="00915224" w:rsidRDefault="00915224" w:rsidP="007538F6">
            <w:pPr>
              <w:pStyle w:val="TableSideHeading"/>
              <w:keepLines w:val="0"/>
            </w:pPr>
            <w:r>
              <w:rPr>
                <w:rFonts w:hint="cs"/>
                <w:rtl/>
              </w:rPr>
              <w:t>תיקון סעיף 13</w:t>
            </w:r>
          </w:p>
        </w:tc>
        <w:tc>
          <w:tcPr>
            <w:tcW w:w="624" w:type="dxa"/>
            <w:hideMark/>
          </w:tcPr>
          <w:p w14:paraId="0D174F77" w14:textId="77777777" w:rsidR="00915224" w:rsidRDefault="00915224" w:rsidP="007538F6">
            <w:pPr>
              <w:pStyle w:val="TableText"/>
            </w:pPr>
            <w:r>
              <w:rPr>
                <w:rFonts w:hint="cs"/>
                <w:rtl/>
              </w:rPr>
              <w:t>3.</w:t>
            </w:r>
          </w:p>
        </w:tc>
        <w:tc>
          <w:tcPr>
            <w:tcW w:w="7143" w:type="dxa"/>
            <w:gridSpan w:val="2"/>
            <w:hideMark/>
          </w:tcPr>
          <w:p w14:paraId="52504020" w14:textId="77777777" w:rsidR="00915224" w:rsidRDefault="00915224" w:rsidP="007538F6">
            <w:pPr>
              <w:pStyle w:val="TableBlock"/>
            </w:pPr>
            <w:r>
              <w:rPr>
                <w:rFonts w:hint="cs"/>
                <w:rtl/>
              </w:rPr>
              <w:t>בסעיף 13 לחוק העיקרי –</w:t>
            </w:r>
          </w:p>
        </w:tc>
      </w:tr>
      <w:tr w:rsidR="00915224" w14:paraId="3713930D" w14:textId="77777777" w:rsidTr="007538F6">
        <w:trPr>
          <w:cantSplit/>
        </w:trPr>
        <w:tc>
          <w:tcPr>
            <w:tcW w:w="1872" w:type="dxa"/>
          </w:tcPr>
          <w:p w14:paraId="322D768A" w14:textId="77777777" w:rsidR="00915224" w:rsidRDefault="00915224" w:rsidP="007538F6">
            <w:pPr>
              <w:pStyle w:val="TableSideHeading"/>
              <w:keepLines w:val="0"/>
            </w:pPr>
          </w:p>
        </w:tc>
        <w:tc>
          <w:tcPr>
            <w:tcW w:w="624" w:type="dxa"/>
          </w:tcPr>
          <w:p w14:paraId="15294A1A" w14:textId="77777777" w:rsidR="00915224" w:rsidRDefault="00915224" w:rsidP="007538F6">
            <w:pPr>
              <w:pStyle w:val="TableText"/>
              <w:keepLines w:val="0"/>
            </w:pPr>
          </w:p>
        </w:tc>
        <w:tc>
          <w:tcPr>
            <w:tcW w:w="7143" w:type="dxa"/>
            <w:gridSpan w:val="2"/>
            <w:hideMark/>
          </w:tcPr>
          <w:p w14:paraId="6C0C833C" w14:textId="77777777" w:rsidR="00915224" w:rsidRDefault="00915224" w:rsidP="007538F6">
            <w:pPr>
              <w:pStyle w:val="TableBlock"/>
            </w:pPr>
            <w:r>
              <w:rPr>
                <w:rFonts w:hint="cs"/>
                <w:rtl/>
              </w:rPr>
              <w:t>(1)</w:t>
            </w:r>
            <w:r>
              <w:rPr>
                <w:rFonts w:hint="cs"/>
                <w:rtl/>
              </w:rPr>
              <w:tab/>
              <w:t>בסעיף קטן (א), אחרי "במרשם האוכלוסין" יבוא "ומי שהוא בעל בית עסק והודיע על החלטתו כאמור בסעיף קטן (א1)";</w:t>
            </w:r>
          </w:p>
        </w:tc>
      </w:tr>
      <w:tr w:rsidR="00915224" w14:paraId="6F3A644E" w14:textId="77777777" w:rsidTr="007538F6">
        <w:trPr>
          <w:cantSplit/>
        </w:trPr>
        <w:tc>
          <w:tcPr>
            <w:tcW w:w="1872" w:type="dxa"/>
          </w:tcPr>
          <w:p w14:paraId="04FD361D" w14:textId="77777777" w:rsidR="00915224" w:rsidRDefault="00915224" w:rsidP="007538F6">
            <w:pPr>
              <w:pStyle w:val="TableSideHeading"/>
              <w:keepLines w:val="0"/>
            </w:pPr>
          </w:p>
        </w:tc>
        <w:tc>
          <w:tcPr>
            <w:tcW w:w="624" w:type="dxa"/>
          </w:tcPr>
          <w:p w14:paraId="0111A897" w14:textId="77777777" w:rsidR="00915224" w:rsidRDefault="00915224" w:rsidP="007538F6">
            <w:pPr>
              <w:pStyle w:val="TableText"/>
            </w:pPr>
          </w:p>
        </w:tc>
        <w:tc>
          <w:tcPr>
            <w:tcW w:w="7143" w:type="dxa"/>
            <w:gridSpan w:val="2"/>
            <w:hideMark/>
          </w:tcPr>
          <w:p w14:paraId="1D7D6939" w14:textId="77777777" w:rsidR="00915224" w:rsidRDefault="00915224" w:rsidP="007538F6">
            <w:pPr>
              <w:pStyle w:val="TableBlock"/>
            </w:pPr>
            <w:r>
              <w:rPr>
                <w:rFonts w:hint="cs"/>
                <w:rtl/>
              </w:rPr>
              <w:t>(2)</w:t>
            </w:r>
            <w:r>
              <w:rPr>
                <w:rFonts w:hint="cs"/>
                <w:rtl/>
              </w:rPr>
              <w:tab/>
              <w:t>אחרי סעיף קטן (א) יבוא:</w:t>
            </w:r>
          </w:p>
        </w:tc>
      </w:tr>
      <w:tr w:rsidR="00915224" w14:paraId="0C93D290" w14:textId="77777777" w:rsidTr="007538F6">
        <w:trPr>
          <w:cantSplit/>
        </w:trPr>
        <w:tc>
          <w:tcPr>
            <w:tcW w:w="1872" w:type="dxa"/>
          </w:tcPr>
          <w:p w14:paraId="2E26FD4F" w14:textId="77777777" w:rsidR="00915224" w:rsidRDefault="00915224" w:rsidP="007538F6">
            <w:pPr>
              <w:pStyle w:val="TableSideHeading"/>
            </w:pPr>
          </w:p>
        </w:tc>
        <w:tc>
          <w:tcPr>
            <w:tcW w:w="624" w:type="dxa"/>
          </w:tcPr>
          <w:p w14:paraId="28D09066" w14:textId="77777777" w:rsidR="00915224" w:rsidRDefault="00915224" w:rsidP="007538F6">
            <w:pPr>
              <w:pStyle w:val="TableText"/>
            </w:pPr>
          </w:p>
        </w:tc>
        <w:tc>
          <w:tcPr>
            <w:tcW w:w="624" w:type="dxa"/>
            <w:hideMark/>
          </w:tcPr>
          <w:p w14:paraId="64406495" w14:textId="77777777" w:rsidR="00915224" w:rsidRDefault="00915224" w:rsidP="007538F6">
            <w:pPr>
              <w:pStyle w:val="TableText"/>
            </w:pPr>
            <w:r>
              <w:rPr>
                <w:rFonts w:hint="cs"/>
                <w:rtl/>
              </w:rPr>
              <w:t>"(א1)</w:t>
            </w:r>
          </w:p>
        </w:tc>
        <w:tc>
          <w:tcPr>
            <w:tcW w:w="6519" w:type="dxa"/>
            <w:hideMark/>
          </w:tcPr>
          <w:p w14:paraId="155F8591" w14:textId="77777777" w:rsidR="00915224" w:rsidRDefault="00915224" w:rsidP="007538F6">
            <w:pPr>
              <w:pStyle w:val="TableBlock"/>
            </w:pPr>
            <w:r>
              <w:rPr>
                <w:rFonts w:hint="cs"/>
                <w:rtl/>
              </w:rPr>
              <w:t>(1)</w:t>
            </w:r>
            <w:r>
              <w:rPr>
                <w:rFonts w:hint="cs"/>
                <w:rtl/>
              </w:rPr>
              <w:tab/>
              <w:t>החליט בעל בית עסק, שבית העסק שלו הוא בתחום רשות מקומית, ואין מענו הרשום במרשם האוכלוסין של בעל בית העסק בתחום אותה רשות מקומית, להצביע בקלפי שבתחום אזורו נמצא בית העסק, יודיע על כך לשר או למי שהוא הסמיך לעניין זה, עד היום ה-30 שלפני היום הקובע כהגדרתו בסעיף 16.</w:t>
            </w:r>
          </w:p>
        </w:tc>
      </w:tr>
      <w:tr w:rsidR="00915224" w14:paraId="157C40E2" w14:textId="77777777" w:rsidTr="007538F6">
        <w:trPr>
          <w:cantSplit/>
        </w:trPr>
        <w:tc>
          <w:tcPr>
            <w:tcW w:w="1872" w:type="dxa"/>
          </w:tcPr>
          <w:p w14:paraId="1E018B59" w14:textId="77777777" w:rsidR="00915224" w:rsidRDefault="00915224" w:rsidP="007538F6">
            <w:pPr>
              <w:pStyle w:val="TableSideHeading"/>
            </w:pPr>
          </w:p>
        </w:tc>
        <w:tc>
          <w:tcPr>
            <w:tcW w:w="624" w:type="dxa"/>
          </w:tcPr>
          <w:p w14:paraId="3C4B8F2D" w14:textId="77777777" w:rsidR="00915224" w:rsidRDefault="00915224" w:rsidP="007538F6">
            <w:pPr>
              <w:pStyle w:val="TableText"/>
            </w:pPr>
          </w:p>
        </w:tc>
        <w:tc>
          <w:tcPr>
            <w:tcW w:w="624" w:type="dxa"/>
          </w:tcPr>
          <w:p w14:paraId="39C093E1" w14:textId="77777777" w:rsidR="00915224" w:rsidRDefault="00915224" w:rsidP="007538F6">
            <w:pPr>
              <w:pStyle w:val="TableText"/>
            </w:pPr>
          </w:p>
        </w:tc>
        <w:tc>
          <w:tcPr>
            <w:tcW w:w="6519" w:type="dxa"/>
            <w:hideMark/>
          </w:tcPr>
          <w:p w14:paraId="2BF5F31C" w14:textId="77777777" w:rsidR="00915224" w:rsidRDefault="00915224" w:rsidP="007538F6">
            <w:pPr>
              <w:pStyle w:val="TableBlock"/>
            </w:pPr>
            <w:r>
              <w:rPr>
                <w:rFonts w:hint="cs"/>
                <w:rtl/>
              </w:rPr>
              <w:t>(2)</w:t>
            </w:r>
            <w:r>
              <w:rPr>
                <w:rFonts w:hint="cs"/>
                <w:rtl/>
              </w:rPr>
              <w:tab/>
              <w:t>הודיע בעל בית עסק לשר או למי שהוא הסמיך לעניין זה, על החלטתו כאמור בפסקה (1), יוסר שמו מפנקס הבוחרים הנוגע לרשות המקומית שבתחומה מענו כפי שרשום במרשם האוכלוסין.</w:t>
            </w:r>
          </w:p>
        </w:tc>
      </w:tr>
      <w:tr w:rsidR="00915224" w14:paraId="4CC9C36C" w14:textId="77777777" w:rsidTr="007538F6">
        <w:trPr>
          <w:cantSplit/>
        </w:trPr>
        <w:tc>
          <w:tcPr>
            <w:tcW w:w="1872" w:type="dxa"/>
          </w:tcPr>
          <w:p w14:paraId="5AD1CB0F" w14:textId="77777777" w:rsidR="00915224" w:rsidRDefault="00915224" w:rsidP="007538F6">
            <w:pPr>
              <w:pStyle w:val="TableSideHeading"/>
            </w:pPr>
          </w:p>
        </w:tc>
        <w:tc>
          <w:tcPr>
            <w:tcW w:w="624" w:type="dxa"/>
          </w:tcPr>
          <w:p w14:paraId="3D67D7B0" w14:textId="77777777" w:rsidR="00915224" w:rsidRDefault="00915224" w:rsidP="007538F6">
            <w:pPr>
              <w:pStyle w:val="TableText"/>
            </w:pPr>
          </w:p>
        </w:tc>
        <w:tc>
          <w:tcPr>
            <w:tcW w:w="624" w:type="dxa"/>
          </w:tcPr>
          <w:p w14:paraId="53CA6197" w14:textId="77777777" w:rsidR="00915224" w:rsidRDefault="00915224" w:rsidP="007538F6">
            <w:pPr>
              <w:pStyle w:val="TableText"/>
            </w:pPr>
          </w:p>
        </w:tc>
        <w:tc>
          <w:tcPr>
            <w:tcW w:w="6519" w:type="dxa"/>
            <w:hideMark/>
          </w:tcPr>
          <w:p w14:paraId="160EB1DA" w14:textId="77777777" w:rsidR="00915224" w:rsidRDefault="00915224" w:rsidP="007538F6">
            <w:pPr>
              <w:pStyle w:val="TableBlock"/>
            </w:pPr>
            <w:r>
              <w:rPr>
                <w:rFonts w:hint="cs"/>
                <w:rtl/>
              </w:rPr>
              <w:t>(3)</w:t>
            </w:r>
            <w:r>
              <w:rPr>
                <w:rFonts w:hint="cs"/>
                <w:rtl/>
              </w:rPr>
              <w:tab/>
              <w:t>בעל בית עסק שבבעלותו יותר מבית עסק אחד בתחומן של רשויות מקומיות שונות יכול להצביע בקלפי בתחום אחת מרשויות מקומיות אלה בלבד, לפי בחירתו, בכל יום בחירות.</w:t>
            </w:r>
          </w:p>
        </w:tc>
      </w:tr>
      <w:tr w:rsidR="00915224" w14:paraId="6C37F75A" w14:textId="77777777" w:rsidTr="007538F6">
        <w:trPr>
          <w:cantSplit/>
        </w:trPr>
        <w:tc>
          <w:tcPr>
            <w:tcW w:w="1872" w:type="dxa"/>
          </w:tcPr>
          <w:p w14:paraId="735AEE28" w14:textId="77777777" w:rsidR="00915224" w:rsidRDefault="00915224" w:rsidP="007538F6">
            <w:pPr>
              <w:pStyle w:val="TableSideHeading"/>
            </w:pPr>
          </w:p>
        </w:tc>
        <w:tc>
          <w:tcPr>
            <w:tcW w:w="624" w:type="dxa"/>
          </w:tcPr>
          <w:p w14:paraId="026F7244" w14:textId="77777777" w:rsidR="00915224" w:rsidRDefault="00915224" w:rsidP="007538F6">
            <w:pPr>
              <w:pStyle w:val="TableText"/>
            </w:pPr>
          </w:p>
        </w:tc>
        <w:tc>
          <w:tcPr>
            <w:tcW w:w="624" w:type="dxa"/>
          </w:tcPr>
          <w:p w14:paraId="087F4664" w14:textId="77777777" w:rsidR="00915224" w:rsidRDefault="00915224" w:rsidP="007538F6">
            <w:pPr>
              <w:pStyle w:val="TableText"/>
            </w:pPr>
          </w:p>
        </w:tc>
        <w:tc>
          <w:tcPr>
            <w:tcW w:w="6519" w:type="dxa"/>
            <w:hideMark/>
          </w:tcPr>
          <w:p w14:paraId="15BC19D7" w14:textId="77777777" w:rsidR="00915224" w:rsidRDefault="00915224" w:rsidP="007538F6">
            <w:pPr>
              <w:pStyle w:val="TableBlock"/>
            </w:pPr>
            <w:r>
              <w:rPr>
                <w:rFonts w:hint="cs"/>
                <w:rtl/>
              </w:rPr>
              <w:t>(4)</w:t>
            </w:r>
            <w:r>
              <w:rPr>
                <w:rFonts w:hint="cs"/>
                <w:rtl/>
              </w:rPr>
              <w:tab/>
              <w:t>השר יקבע הוראות לביצוע סעיף זה."</w:t>
            </w:r>
          </w:p>
        </w:tc>
      </w:tr>
    </w:tbl>
    <w:p w14:paraId="7F6961CA" w14:textId="77777777" w:rsidR="002D1EE3" w:rsidRDefault="002D1EE3" w:rsidP="002D1EE3">
      <w:pPr>
        <w:pStyle w:val="HeadDivreiHesber"/>
        <w:rPr>
          <w:rtl/>
        </w:rPr>
      </w:pPr>
      <w:r w:rsidRPr="0027450A">
        <w:rPr>
          <w:rFonts w:hint="cs"/>
          <w:rtl/>
        </w:rPr>
        <w:t>דברי הסבר</w:t>
      </w:r>
    </w:p>
    <w:p w14:paraId="4E621CB2" w14:textId="12F0E3BA" w:rsidR="00915224" w:rsidRPr="00996B6C" w:rsidRDefault="003701BC" w:rsidP="003701BC">
      <w:pPr>
        <w:pStyle w:val="Hesber"/>
        <w:rPr>
          <w:rtl/>
        </w:rPr>
      </w:pPr>
      <w:r w:rsidRPr="00996B6C">
        <w:rPr>
          <w:rFonts w:hint="cs"/>
          <w:rtl/>
        </w:rPr>
        <w:t>על פי חוק ה</w:t>
      </w:r>
      <w:r>
        <w:rPr>
          <w:rFonts w:hint="cs"/>
          <w:rtl/>
        </w:rPr>
        <w:t>רשויות המקומיות (בחירות), התשכ"ה</w:t>
      </w:r>
      <w:r w:rsidRPr="00996B6C">
        <w:rPr>
          <w:rFonts w:hint="eastAsia"/>
        </w:rPr>
        <w:t>–</w:t>
      </w:r>
      <w:r>
        <w:rPr>
          <w:rFonts w:hint="cs"/>
          <w:rtl/>
        </w:rPr>
        <w:t xml:space="preserve">1965, </w:t>
      </w:r>
      <w:r w:rsidRPr="00996B6C">
        <w:rPr>
          <w:rFonts w:hint="cs"/>
          <w:rtl/>
        </w:rPr>
        <w:t>ה</w:t>
      </w:r>
      <w:r>
        <w:rPr>
          <w:rFonts w:hint="cs"/>
          <w:rtl/>
        </w:rPr>
        <w:t xml:space="preserve">זכות לבחור את ראש הרשות המקומית </w:t>
      </w:r>
      <w:r>
        <w:rPr>
          <w:rFonts w:hint="cs"/>
          <w:rtl/>
        </w:rPr>
        <w:t>ו</w:t>
      </w:r>
      <w:r w:rsidR="00915224" w:rsidRPr="00996B6C">
        <w:rPr>
          <w:rFonts w:hint="cs"/>
          <w:rtl/>
        </w:rPr>
        <w:t xml:space="preserve">חברי המועצה נתונה למי שהם תושבים המתגוררים בתחומי הרשות. כיום, מרבית בעלי העסקים אינם שותפים בבחירות המקומיות כיוון שהם מתגוררים בתחומי רשות מקומית אחרת. </w:t>
      </w:r>
    </w:p>
    <w:p w14:paraId="4AD6B455" w14:textId="3CC7B117" w:rsidR="00996B6C" w:rsidRPr="00996B6C" w:rsidRDefault="00915224" w:rsidP="003701BC">
      <w:pPr>
        <w:pStyle w:val="Hesber"/>
        <w:rPr>
          <w:rtl/>
        </w:rPr>
      </w:pPr>
      <w:r w:rsidRPr="00996B6C">
        <w:rPr>
          <w:rFonts w:hint="cs"/>
          <w:rtl/>
        </w:rPr>
        <w:t xml:space="preserve">הצעת החוק </w:t>
      </w:r>
      <w:r w:rsidR="003701BC">
        <w:rPr>
          <w:rFonts w:hint="cs"/>
          <w:rtl/>
        </w:rPr>
        <w:t>נועדה</w:t>
      </w:r>
      <w:r w:rsidRPr="00996B6C">
        <w:rPr>
          <w:rFonts w:hint="cs"/>
          <w:rtl/>
        </w:rPr>
        <w:t xml:space="preserve"> לקבוע כי בעל עס</w:t>
      </w:r>
      <w:bookmarkStart w:id="8" w:name="_GoBack"/>
      <w:bookmarkEnd w:id="8"/>
      <w:r w:rsidRPr="00996B6C">
        <w:rPr>
          <w:rFonts w:hint="cs"/>
          <w:rtl/>
        </w:rPr>
        <w:t xml:space="preserve">ק, כמוגדר בהצעת החוק, יוכל להודיע לשר הפנים או למי שהסמיך לכך, לצרפו לפנקס הבוחרים הנוגע לאותה רשות מקומית ולהשתתף בבחירות של הרשות המקומית שבתחום אזורה נמצא עסקו. הודעה כאמור תביא להסרתו של בעל העסק מפנקס הבוחרים של הרשות המקומית בה הוא מתגורר. </w:t>
      </w:r>
    </w:p>
    <w:p w14:paraId="7F6961CB" w14:textId="5241741E" w:rsidR="00E13C27" w:rsidRDefault="00915224" w:rsidP="003701BC">
      <w:pPr>
        <w:pStyle w:val="Hesber"/>
        <w:rPr>
          <w:rtl/>
        </w:rPr>
      </w:pPr>
      <w:r w:rsidRPr="00996B6C">
        <w:rPr>
          <w:rFonts w:hint="cs"/>
          <w:rtl/>
        </w:rPr>
        <w:t xml:space="preserve">הצעת חוק זהה </w:t>
      </w:r>
      <w:r w:rsidR="00996B6C" w:rsidRPr="00996B6C">
        <w:rPr>
          <w:rFonts w:hint="cs"/>
          <w:rtl/>
        </w:rPr>
        <w:t xml:space="preserve">הונחה </w:t>
      </w:r>
      <w:r w:rsidRPr="00996B6C">
        <w:rPr>
          <w:rFonts w:hint="cs"/>
          <w:rtl/>
        </w:rPr>
        <w:t>על שולח</w:t>
      </w:r>
      <w:r w:rsidR="00996B6C" w:rsidRPr="00996B6C">
        <w:rPr>
          <w:rFonts w:hint="cs"/>
          <w:rtl/>
        </w:rPr>
        <w:t>ן</w:t>
      </w:r>
      <w:r w:rsidRPr="00996B6C">
        <w:rPr>
          <w:rFonts w:hint="cs"/>
          <w:rtl/>
        </w:rPr>
        <w:t xml:space="preserve"> הכנסת העשר</w:t>
      </w:r>
      <w:r w:rsidR="00996B6C" w:rsidRPr="00996B6C">
        <w:rPr>
          <w:rFonts w:hint="cs"/>
          <w:rtl/>
        </w:rPr>
        <w:t>י</w:t>
      </w:r>
      <w:r w:rsidR="003701BC">
        <w:rPr>
          <w:rFonts w:hint="cs"/>
          <w:rtl/>
        </w:rPr>
        <w:t xml:space="preserve">ם על </w:t>
      </w:r>
      <w:r w:rsidRPr="00996B6C">
        <w:rPr>
          <w:rFonts w:hint="cs"/>
          <w:rtl/>
        </w:rPr>
        <w:t>יד</w:t>
      </w:r>
      <w:r w:rsidRPr="00996B6C">
        <w:rPr>
          <w:rFonts w:hint="eastAsia"/>
          <w:rtl/>
        </w:rPr>
        <w:t>י</w:t>
      </w:r>
      <w:r w:rsidRPr="00996B6C">
        <w:rPr>
          <w:rFonts w:hint="cs"/>
          <w:rtl/>
        </w:rPr>
        <w:t xml:space="preserve"> חבר</w:t>
      </w:r>
      <w:r w:rsidR="00996B6C" w:rsidRPr="00996B6C">
        <w:rPr>
          <w:rFonts w:hint="cs"/>
          <w:rtl/>
        </w:rPr>
        <w:t>י</w:t>
      </w:r>
      <w:r w:rsidRPr="00996B6C">
        <w:rPr>
          <w:rFonts w:hint="cs"/>
          <w:rtl/>
        </w:rPr>
        <w:t xml:space="preserve"> הכנסת דוד ביטן ודוד אמסלם</w:t>
      </w:r>
      <w:r w:rsidR="00996B6C" w:rsidRPr="00996B6C">
        <w:rPr>
          <w:rFonts w:hint="cs"/>
          <w:rtl/>
        </w:rPr>
        <w:t xml:space="preserve"> </w:t>
      </w:r>
      <w:r w:rsidRPr="00996B6C">
        <w:rPr>
          <w:rFonts w:hint="cs"/>
          <w:rtl/>
        </w:rPr>
        <w:t>(פ/2776/20)</w:t>
      </w:r>
      <w:r w:rsidR="00996B6C" w:rsidRPr="00996B6C">
        <w:rPr>
          <w:rFonts w:hint="cs"/>
          <w:rtl/>
        </w:rPr>
        <w:t>.</w:t>
      </w:r>
    </w:p>
    <w:p w14:paraId="170C69BF" w14:textId="77777777" w:rsidR="003701BC" w:rsidRDefault="003701BC" w:rsidP="003701BC">
      <w:pPr>
        <w:pStyle w:val="Hesber"/>
        <w:rPr>
          <w:rtl/>
        </w:rPr>
      </w:pPr>
    </w:p>
    <w:p w14:paraId="0EF74A1D" w14:textId="77777777" w:rsidR="003701BC" w:rsidRPr="00D73212" w:rsidRDefault="003701BC" w:rsidP="003701BC">
      <w:pPr>
        <w:pStyle w:val="Hesber"/>
        <w:rPr>
          <w:color w:val="auto"/>
          <w:rtl/>
          <w:lang w:eastAsia="en-US"/>
        </w:rPr>
      </w:pPr>
      <w:r w:rsidRPr="00D73212">
        <w:rPr>
          <w:color w:val="auto"/>
          <w:rtl/>
          <w:lang w:eastAsia="en-US"/>
        </w:rPr>
        <w:t>---------------------------------</w:t>
      </w:r>
    </w:p>
    <w:p w14:paraId="3FE2E82B" w14:textId="77777777" w:rsidR="003701BC" w:rsidRPr="00D73212" w:rsidRDefault="003701BC" w:rsidP="003701BC">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7EF184D8" w14:textId="77777777" w:rsidR="003701BC" w:rsidRPr="00D73212" w:rsidRDefault="003701BC" w:rsidP="003701BC">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128260C3" w14:textId="77777777" w:rsidR="003701BC" w:rsidRPr="00317312" w:rsidRDefault="003701BC" w:rsidP="003701BC">
      <w:pPr>
        <w:pStyle w:val="Hesber"/>
      </w:pPr>
      <w:r>
        <w:rPr>
          <w:rFonts w:hint="cs"/>
          <w:color w:val="auto"/>
          <w:rtl/>
          <w:lang w:eastAsia="en-US"/>
        </w:rPr>
        <w:t>א' באדר</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27.2</w:t>
      </w:r>
      <w:r w:rsidRPr="00D73212">
        <w:rPr>
          <w:color w:val="auto"/>
          <w:rtl/>
          <w:lang w:eastAsia="en-US"/>
        </w:rPr>
        <w:t>.</w:t>
      </w:r>
      <w:r>
        <w:rPr>
          <w:rFonts w:hint="cs"/>
          <w:color w:val="auto"/>
          <w:rtl/>
          <w:lang w:eastAsia="en-US"/>
        </w:rPr>
        <w:t>17</w:t>
      </w:r>
    </w:p>
    <w:p w14:paraId="75B704D2" w14:textId="77777777" w:rsidR="003701BC" w:rsidRPr="00996B6C" w:rsidRDefault="003701BC" w:rsidP="00996B6C">
      <w:pPr>
        <w:pStyle w:val="Hesber"/>
        <w:rPr>
          <w:rtl/>
        </w:rPr>
      </w:pPr>
    </w:p>
    <w:sectPr w:rsidR="003701BC" w:rsidRPr="00996B6C"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3701BC">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3A1939BC" w14:textId="77777777" w:rsidR="00915224" w:rsidRDefault="00915224" w:rsidP="00915224">
      <w:pPr>
        <w:pStyle w:val="a4"/>
      </w:pPr>
      <w:r>
        <w:rPr>
          <w:rStyle w:val="a6"/>
        </w:rPr>
        <w:footnoteRef/>
      </w:r>
      <w:r>
        <w:rPr>
          <w:rFonts w:hint="cs"/>
          <w:rtl/>
        </w:rPr>
        <w:t xml:space="preserve"> ס"ח התשכ"ה, עמ' 248.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01B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C3FA6"/>
    <w:rsid w:val="007D585A"/>
    <w:rsid w:val="007D5A12"/>
    <w:rsid w:val="007E59F9"/>
    <w:rsid w:val="00810BCD"/>
    <w:rsid w:val="00812C98"/>
    <w:rsid w:val="00814D92"/>
    <w:rsid w:val="0081697E"/>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15224"/>
    <w:rsid w:val="009203DB"/>
    <w:rsid w:val="00923CD4"/>
    <w:rsid w:val="00930EFE"/>
    <w:rsid w:val="00943386"/>
    <w:rsid w:val="009456B6"/>
    <w:rsid w:val="00957589"/>
    <w:rsid w:val="00966D06"/>
    <w:rsid w:val="00982412"/>
    <w:rsid w:val="00983A8D"/>
    <w:rsid w:val="00996B6C"/>
    <w:rsid w:val="009A0DB8"/>
    <w:rsid w:val="009A7257"/>
    <w:rsid w:val="009D6E0A"/>
    <w:rsid w:val="009E1E33"/>
    <w:rsid w:val="00A14672"/>
    <w:rsid w:val="00A26BD6"/>
    <w:rsid w:val="00A443CF"/>
    <w:rsid w:val="00A6611D"/>
    <w:rsid w:val="00A82CB7"/>
    <w:rsid w:val="00A942C1"/>
    <w:rsid w:val="00AA2F03"/>
    <w:rsid w:val="00AC36F7"/>
    <w:rsid w:val="00AC63A4"/>
    <w:rsid w:val="00AD239E"/>
    <w:rsid w:val="00AD4F6B"/>
    <w:rsid w:val="00B10265"/>
    <w:rsid w:val="00B16A99"/>
    <w:rsid w:val="00B21211"/>
    <w:rsid w:val="00B35784"/>
    <w:rsid w:val="00B733A7"/>
    <w:rsid w:val="00B75C91"/>
    <w:rsid w:val="00B975AD"/>
    <w:rsid w:val="00BC45FB"/>
    <w:rsid w:val="00BF148D"/>
    <w:rsid w:val="00C23B1A"/>
    <w:rsid w:val="00C310EB"/>
    <w:rsid w:val="00C9176A"/>
    <w:rsid w:val="00CF1AA2"/>
    <w:rsid w:val="00CF4A77"/>
    <w:rsid w:val="00D17774"/>
    <w:rsid w:val="00D63620"/>
    <w:rsid w:val="00D8410D"/>
    <w:rsid w:val="00D867D7"/>
    <w:rsid w:val="00DB7060"/>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rsid w:val="00915224"/>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435B54D8-3D12-431B-9C62-A4564B6F5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58B0C71-AC1C-40D3-948B-62529C59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2</Pages>
  <Words>432</Words>
  <Characters>2163</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9</cp:revision>
  <cp:lastPrinted>2017-02-22T08:43:00Z</cp:lastPrinted>
  <dcterms:created xsi:type="dcterms:W3CDTF">2015-04-20T09:58:00Z</dcterms:created>
  <dcterms:modified xsi:type="dcterms:W3CDTF">2017-02-22T08:43:00Z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2013039</vt:r8>
  </property>
</Properties>
</file>