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2013003</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A" w14:textId="708E3E17" w:rsidR="00E13C27" w:rsidRPr="00CF1AA2" w:rsidRDefault="008F6665" w:rsidP="00A56DF2">
      <w:pPr>
        <w:pStyle w:val="David"/>
        <w:spacing w:line="360" w:lineRule="auto"/>
        <w:ind w:left="3544"/>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עליזה לביא</w:t>
      </w:r>
      <w:r>
        <w:br/>
      </w:r>
      <w:r>
        <w:rPr>
          <w:rFonts w:hint="cs"/>
          <w:b/>
          <w:bCs/>
          <w:rtl/>
        </w:rPr>
        <w:t xml:space="preserve"> </w:t>
      </w:r>
      <w:r>
        <w:tab/>
      </w:r>
      <w:r>
        <w:tab/>
      </w:r>
      <w:r>
        <w:tab/>
      </w:r>
      <w:r>
        <w:tab/>
      </w:r>
      <w:r>
        <w:rPr>
          <w:rFonts w:hint="cs"/>
          <w:b/>
          <w:bCs/>
          <w:rtl/>
        </w:rPr>
        <w:t>מכלוף מיקי זוהר</w:t>
      </w:r>
      <w:r>
        <w:br/>
      </w:r>
      <w:r>
        <w:rPr>
          <w:rFonts w:hint="cs"/>
          <w:b/>
          <w:bCs/>
          <w:rtl/>
        </w:rPr>
        <w:t xml:space="preserve"> </w:t>
      </w:r>
      <w:r>
        <w:tab/>
      </w:r>
      <w:r>
        <w:tab/>
      </w:r>
      <w:r>
        <w:tab/>
      </w:r>
      <w:r>
        <w:tab/>
      </w:r>
      <w:r>
        <w:rPr>
          <w:rFonts w:hint="cs"/>
          <w:b/>
          <w:bCs/>
          <w:rtl/>
        </w:rPr>
        <w:t>מיכל בירן</w:t>
      </w:r>
      <w:r>
        <w:br/>
      </w:r>
      <w:r>
        <w:rPr>
          <w:rFonts w:hint="cs"/>
          <w:b/>
          <w:bCs/>
          <w:rtl/>
        </w:rPr>
        <w:t xml:space="preserve"> </w:t>
      </w:r>
      <w:r>
        <w:tab/>
      </w:r>
      <w:r>
        <w:tab/>
      </w:r>
      <w:r>
        <w:tab/>
      </w:r>
      <w:r>
        <w:tab/>
      </w:r>
      <w:r>
        <w:rPr>
          <w:rFonts w:hint="cs"/>
          <w:b/>
          <w:bCs/>
          <w:rtl/>
        </w:rPr>
        <w:t>יעקב מרגי</w:t>
      </w:r>
      <w:r>
        <w:br/>
      </w:r>
      <w:r>
        <w:rPr>
          <w:rFonts w:hint="cs"/>
          <w:b/>
          <w:bCs/>
          <w:rtl/>
        </w:rPr>
        <w:t xml:space="preserve"> </w:t>
      </w:r>
      <w:r>
        <w:tab/>
      </w:r>
      <w:r>
        <w:tab/>
      </w:r>
      <w:r>
        <w:tab/>
      </w:r>
      <w:r>
        <w:tab/>
      </w:r>
      <w:r>
        <w:rPr>
          <w:rFonts w:hint="cs"/>
          <w:b/>
          <w:bCs/>
          <w:rtl/>
        </w:rPr>
        <w:t>יפעת שאשא ביטון</w:t>
      </w:r>
      <w:r>
        <w:br/>
      </w:r>
      <w:r>
        <w:rPr>
          <w:rFonts w:hint="cs"/>
          <w:b/>
          <w:bCs/>
          <w:rtl/>
        </w:rPr>
        <w:t xml:space="preserve"> </w:t>
      </w:r>
      <w:r>
        <w:tab/>
      </w:r>
      <w:r>
        <w:tab/>
      </w:r>
      <w:r>
        <w:tab/>
      </w:r>
      <w:r>
        <w:tab/>
      </w:r>
      <w:r>
        <w:rPr>
          <w:rFonts w:hint="cs"/>
          <w:b/>
          <w:bCs/>
          <w:rtl/>
        </w:rPr>
        <w:t>יגאל גואטה</w:t>
      </w:r>
      <w:r>
        <w:br/>
      </w:r>
      <w:r>
        <w:rPr>
          <w:rFonts w:hint="cs"/>
          <w:b/>
          <w:bCs/>
          <w:rtl/>
        </w:rPr>
        <w:t xml:space="preserve"> </w:t>
      </w:r>
      <w:r>
        <w:tab/>
      </w:r>
      <w:r>
        <w:tab/>
      </w:r>
      <w:r>
        <w:tab/>
      </w:r>
      <w:r>
        <w:tab/>
      </w:r>
      <w:r>
        <w:rPr>
          <w:rFonts w:hint="cs"/>
          <w:b/>
          <w:bCs/>
          <w:rtl/>
        </w:rPr>
        <w:t>אברהם נגוסה</w:t>
      </w:r>
      <w:r>
        <w:br/>
      </w:r>
      <w:r>
        <w:rPr>
          <w:rFonts w:hint="cs"/>
          <w:b/>
          <w:bCs/>
          <w:rtl/>
        </w:rPr>
        <w:t xml:space="preserve"> </w:t>
      </w:r>
      <w:r>
        <w:tab/>
      </w:r>
      <w:r>
        <w:tab/>
      </w:r>
      <w:r>
        <w:tab/>
      </w:r>
      <w:r>
        <w:tab/>
      </w:r>
      <w:r>
        <w:rPr>
          <w:rFonts w:hint="cs"/>
          <w:b/>
          <w:bCs/>
          <w:rtl/>
        </w:rPr>
        <w:t>מיקי לוי</w:t>
      </w:r>
      <w:r>
        <w:br/>
      </w:r>
      <w:r>
        <w:rPr>
          <w:rFonts w:hint="cs"/>
          <w:b/>
          <w:bCs/>
          <w:rtl/>
        </w:rPr>
        <w:t xml:space="preserve"> </w:t>
      </w:r>
      <w:r>
        <w:tab/>
      </w:r>
      <w:r>
        <w:tab/>
      </w:r>
      <w:r>
        <w:tab/>
      </w:r>
      <w:r>
        <w:tab/>
      </w:r>
      <w:r>
        <w:rPr>
          <w:rFonts w:hint="cs"/>
          <w:b/>
          <w:bCs/>
          <w:rtl/>
        </w:rPr>
        <w:t>נאוה בוקר</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פ/3898/20</w:t>
      </w:r>
      <w:bookmarkEnd w:id="6"/>
    </w:p>
    <w:p w14:paraId="7F6961AC" w14:textId="77777777" w:rsidR="00E13C27" w:rsidRDefault="00E13C27" w:rsidP="00E13C27">
      <w:pPr>
        <w:spacing w:before="0" w:line="360" w:lineRule="auto"/>
        <w:ind w:left="2880" w:firstLine="720"/>
        <w:rPr>
          <w:rFonts w:cs="David"/>
          <w:sz w:val="26"/>
          <w:szCs w:val="26"/>
          <w:rtl/>
        </w:rPr>
      </w:pPr>
    </w:p>
    <w:p w14:paraId="7F6961AD" w14:textId="6728FFD1" w:rsidR="00E13C27" w:rsidRPr="00F67051" w:rsidRDefault="00A443CF" w:rsidP="007D27D4">
      <w:pPr>
        <w:pStyle w:val="HeadHatzaotHok"/>
        <w:rPr>
          <w:rtl/>
        </w:rPr>
      </w:pPr>
      <w:bookmarkStart w:id="7" w:name="LGS_Subject"/>
      <w:r>
        <w:rPr>
          <w:rFonts w:hint="cs"/>
          <w:rtl/>
        </w:rPr>
        <w:t xml:space="preserve">הצעת חוק איסור הפליה במוצרים, בשירותים ובכניסה למקומות בידור ולמקומות ציבוריים (תיקון </w:t>
      </w:r>
      <w:r w:rsidR="007D27D4">
        <w:rPr>
          <w:rFonts w:hint="eastAsia"/>
          <w:rtl/>
        </w:rPr>
        <w:t>–</w:t>
      </w:r>
      <w:r>
        <w:rPr>
          <w:rFonts w:hint="cs"/>
          <w:rtl/>
        </w:rPr>
        <w:t xml:space="preserve"> הסמכת בית משפט למתן צו מניעה או צו עשה), התשע"ז</w:t>
      </w:r>
      <w:r w:rsidR="007D27D4">
        <w:rPr>
          <w:rFonts w:hint="eastAsia"/>
          <w:rtl/>
        </w:rPr>
        <w:t>–</w:t>
      </w:r>
      <w:bookmarkStart w:id="8" w:name="_GoBack"/>
      <w:bookmarkEnd w:id="8"/>
      <w:r>
        <w:rPr>
          <w:rFonts w:hint="cs"/>
          <w:rtl/>
        </w:rPr>
        <w:t>2017</w:t>
      </w:r>
      <w:bookmarkEnd w:id="7"/>
    </w:p>
    <w:p w14:paraId="7F6961AE" w14:textId="77777777" w:rsidR="00E13C27" w:rsidRDefault="00E13C27" w:rsidP="0021633A">
      <w:pPr>
        <w:pStyle w:val="HeadDivreiHesber"/>
        <w:spacing w:before="0" w:after="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2F1D80" w14:paraId="3D9B61D1" w14:textId="77777777" w:rsidTr="002C3041">
        <w:trPr>
          <w:cantSplit/>
          <w:trHeight w:val="60"/>
        </w:trPr>
        <w:tc>
          <w:tcPr>
            <w:tcW w:w="1871" w:type="dxa"/>
          </w:tcPr>
          <w:p w14:paraId="6C0CB9D8" w14:textId="31816979" w:rsidR="002F1D80" w:rsidRDefault="00F9237F" w:rsidP="00F9237F">
            <w:pPr>
              <w:pStyle w:val="TableSideHeading"/>
              <w:keepLines w:val="0"/>
            </w:pPr>
            <w:r>
              <w:rPr>
                <w:rFonts w:hint="cs"/>
                <w:color w:val="auto"/>
                <w:rtl/>
              </w:rPr>
              <w:t xml:space="preserve">תיקון </w:t>
            </w:r>
            <w:r w:rsidR="0086525B">
              <w:rPr>
                <w:rtl/>
              </w:rPr>
              <w:t xml:space="preserve">סעיף </w:t>
            </w:r>
            <w:r>
              <w:rPr>
                <w:rFonts w:hint="cs"/>
                <w:rtl/>
              </w:rPr>
              <w:t>5</w:t>
            </w:r>
          </w:p>
        </w:tc>
        <w:tc>
          <w:tcPr>
            <w:tcW w:w="624" w:type="dxa"/>
          </w:tcPr>
          <w:p w14:paraId="3F4286A2" w14:textId="34B4A4AC" w:rsidR="002F1D80" w:rsidRDefault="0086525B" w:rsidP="002C3041">
            <w:pPr>
              <w:pStyle w:val="TableText"/>
              <w:keepLines w:val="0"/>
            </w:pPr>
            <w:r>
              <w:rPr>
                <w:rFonts w:hint="cs"/>
                <w:rtl/>
              </w:rPr>
              <w:t>1.</w:t>
            </w:r>
          </w:p>
        </w:tc>
        <w:tc>
          <w:tcPr>
            <w:tcW w:w="7146" w:type="dxa"/>
          </w:tcPr>
          <w:p w14:paraId="7633D5BB" w14:textId="6F8727FC" w:rsidR="002F1D80" w:rsidRPr="00C34DE2" w:rsidRDefault="0086525B" w:rsidP="00AD215D">
            <w:pPr>
              <w:pStyle w:val="TableBlock"/>
              <w:keepLines w:val="0"/>
            </w:pPr>
            <w:r>
              <w:rPr>
                <w:sz w:val="26"/>
                <w:rtl/>
              </w:rPr>
              <w:t>בחוק איסור הפליה במוצרים, בשירותים ובכניסה למקומות בידור ולמקומות ציבוריים, התשס"א–</w:t>
            </w:r>
            <w:r w:rsidRPr="00AD215D">
              <w:rPr>
                <w:color w:val="auto"/>
                <w:sz w:val="26"/>
                <w:rtl/>
              </w:rPr>
              <w:t>2000</w:t>
            </w:r>
            <w:r w:rsidRPr="00AD215D">
              <w:rPr>
                <w:rStyle w:val="a6"/>
                <w:color w:val="auto"/>
                <w:sz w:val="26"/>
                <w:rtl/>
              </w:rPr>
              <w:footnoteReference w:id="2"/>
            </w:r>
            <w:r w:rsidR="00F9237F" w:rsidRPr="00AD215D">
              <w:rPr>
                <w:color w:val="auto"/>
                <w:sz w:val="26"/>
                <w:rtl/>
              </w:rPr>
              <w:t>,</w:t>
            </w:r>
            <w:r w:rsidRPr="00AD215D">
              <w:rPr>
                <w:color w:val="auto"/>
                <w:rtl/>
              </w:rPr>
              <w:t xml:space="preserve"> </w:t>
            </w:r>
            <w:r w:rsidR="00AD215D">
              <w:rPr>
                <w:rFonts w:hint="cs"/>
                <w:color w:val="auto"/>
                <w:rtl/>
              </w:rPr>
              <w:t>בסעיף 5, אחרי סעיף קטן (ב) יבוא:</w:t>
            </w:r>
          </w:p>
        </w:tc>
      </w:tr>
      <w:tr w:rsidR="00F9237F" w14:paraId="6E1F29EE" w14:textId="77777777" w:rsidTr="002C3041">
        <w:trPr>
          <w:cantSplit/>
          <w:trHeight w:val="60"/>
        </w:trPr>
        <w:tc>
          <w:tcPr>
            <w:tcW w:w="1871" w:type="dxa"/>
          </w:tcPr>
          <w:p w14:paraId="212B77E3" w14:textId="77777777" w:rsidR="00F9237F" w:rsidDel="00F9237F" w:rsidRDefault="00F9237F" w:rsidP="00F9237F">
            <w:pPr>
              <w:pStyle w:val="TableSideHeading"/>
              <w:keepLines w:val="0"/>
              <w:rPr>
                <w:rtl/>
              </w:rPr>
            </w:pPr>
          </w:p>
        </w:tc>
        <w:tc>
          <w:tcPr>
            <w:tcW w:w="624" w:type="dxa"/>
          </w:tcPr>
          <w:p w14:paraId="1BA2FEB5" w14:textId="77777777" w:rsidR="00F9237F" w:rsidRDefault="00F9237F" w:rsidP="00AD215D">
            <w:pPr>
              <w:pStyle w:val="TableBlock"/>
              <w:rPr>
                <w:rtl/>
              </w:rPr>
            </w:pPr>
          </w:p>
        </w:tc>
        <w:tc>
          <w:tcPr>
            <w:tcW w:w="7146" w:type="dxa"/>
          </w:tcPr>
          <w:p w14:paraId="571224EB" w14:textId="3BDDB7A5" w:rsidR="00F9237F" w:rsidRDefault="00F9237F" w:rsidP="00AD215D">
            <w:pPr>
              <w:pStyle w:val="TableBlock"/>
              <w:rPr>
                <w:rtl/>
              </w:rPr>
            </w:pPr>
            <w:r w:rsidRPr="00AD215D">
              <w:rPr>
                <w:rtl/>
              </w:rPr>
              <w:t>"(ג)</w:t>
            </w:r>
            <w:r w:rsidRPr="00AD215D">
              <w:rPr>
                <w:rtl/>
              </w:rPr>
              <w:tab/>
            </w:r>
            <w:r w:rsidRPr="00AD215D">
              <w:rPr>
                <w:rFonts w:hint="eastAsia"/>
                <w:rtl/>
              </w:rPr>
              <w:t>בית</w:t>
            </w:r>
            <w:r w:rsidRPr="00AD215D">
              <w:rPr>
                <w:rtl/>
              </w:rPr>
              <w:t xml:space="preserve"> </w:t>
            </w:r>
            <w:r w:rsidRPr="00AD215D">
              <w:rPr>
                <w:rFonts w:hint="eastAsia"/>
                <w:rtl/>
              </w:rPr>
              <w:t>המשפט</w:t>
            </w:r>
            <w:r w:rsidRPr="00AD215D">
              <w:rPr>
                <w:rtl/>
              </w:rPr>
              <w:t xml:space="preserve"> </w:t>
            </w:r>
            <w:r w:rsidRPr="00AD215D">
              <w:rPr>
                <w:rFonts w:hint="eastAsia"/>
                <w:rtl/>
              </w:rPr>
              <w:t>הדן</w:t>
            </w:r>
            <w:r w:rsidRPr="00AD215D">
              <w:rPr>
                <w:rtl/>
              </w:rPr>
              <w:t xml:space="preserve"> </w:t>
            </w:r>
            <w:r w:rsidRPr="00AD215D">
              <w:rPr>
                <w:rFonts w:hint="eastAsia"/>
                <w:rtl/>
              </w:rPr>
              <w:t>בתובענה</w:t>
            </w:r>
            <w:r w:rsidRPr="00AD215D">
              <w:rPr>
                <w:rtl/>
              </w:rPr>
              <w:t xml:space="preserve"> </w:t>
            </w:r>
            <w:r w:rsidRPr="00AD215D">
              <w:rPr>
                <w:rFonts w:hint="eastAsia"/>
                <w:rtl/>
              </w:rPr>
              <w:t>בשל</w:t>
            </w:r>
            <w:r w:rsidRPr="00AD215D">
              <w:rPr>
                <w:rtl/>
              </w:rPr>
              <w:t xml:space="preserve"> </w:t>
            </w:r>
            <w:r w:rsidRPr="00AD215D">
              <w:rPr>
                <w:rFonts w:hint="eastAsia"/>
                <w:rtl/>
              </w:rPr>
              <w:t>עוולה</w:t>
            </w:r>
            <w:r w:rsidRPr="00AD215D">
              <w:rPr>
                <w:rtl/>
              </w:rPr>
              <w:t xml:space="preserve"> </w:t>
            </w:r>
            <w:r w:rsidRPr="00AD215D">
              <w:rPr>
                <w:rFonts w:hint="eastAsia"/>
                <w:rtl/>
              </w:rPr>
              <w:t>לפי</w:t>
            </w:r>
            <w:r w:rsidRPr="00AD215D">
              <w:rPr>
                <w:rtl/>
              </w:rPr>
              <w:t xml:space="preserve"> </w:t>
            </w:r>
            <w:r w:rsidRPr="00AD215D">
              <w:rPr>
                <w:rFonts w:hint="eastAsia"/>
                <w:rtl/>
              </w:rPr>
              <w:t>חוק</w:t>
            </w:r>
            <w:r w:rsidRPr="00AD215D">
              <w:rPr>
                <w:rtl/>
              </w:rPr>
              <w:t xml:space="preserve"> </w:t>
            </w:r>
            <w:r w:rsidRPr="00AD215D">
              <w:rPr>
                <w:rFonts w:hint="eastAsia"/>
                <w:rtl/>
              </w:rPr>
              <w:t>זה</w:t>
            </w:r>
            <w:r w:rsidRPr="00AD215D">
              <w:rPr>
                <w:rtl/>
              </w:rPr>
              <w:t xml:space="preserve">, </w:t>
            </w:r>
            <w:r w:rsidRPr="00AD215D">
              <w:rPr>
                <w:rFonts w:hint="eastAsia"/>
                <w:rtl/>
              </w:rPr>
              <w:t>רשאי</w:t>
            </w:r>
            <w:r w:rsidRPr="00AD215D">
              <w:rPr>
                <w:rtl/>
              </w:rPr>
              <w:t xml:space="preserve"> </w:t>
            </w:r>
            <w:r w:rsidRPr="00AD215D">
              <w:rPr>
                <w:rFonts w:hint="eastAsia"/>
                <w:rtl/>
              </w:rPr>
              <w:t>ליתן</w:t>
            </w:r>
            <w:r w:rsidRPr="00AD215D">
              <w:rPr>
                <w:rtl/>
              </w:rPr>
              <w:t xml:space="preserve"> </w:t>
            </w:r>
            <w:r w:rsidRPr="00AD215D">
              <w:rPr>
                <w:rFonts w:hint="eastAsia"/>
                <w:rtl/>
              </w:rPr>
              <w:t>צו</w:t>
            </w:r>
            <w:r w:rsidRPr="00AD215D">
              <w:rPr>
                <w:rtl/>
              </w:rPr>
              <w:t xml:space="preserve"> </w:t>
            </w:r>
            <w:r w:rsidRPr="00AD215D">
              <w:rPr>
                <w:rFonts w:hint="eastAsia"/>
                <w:rtl/>
              </w:rPr>
              <w:t>מניעה</w:t>
            </w:r>
            <w:r w:rsidRPr="00AD215D">
              <w:rPr>
                <w:rtl/>
              </w:rPr>
              <w:t xml:space="preserve"> </w:t>
            </w:r>
            <w:r w:rsidRPr="00AD215D">
              <w:rPr>
                <w:rFonts w:hint="eastAsia"/>
                <w:rtl/>
              </w:rPr>
              <w:t>או</w:t>
            </w:r>
            <w:r w:rsidRPr="00AD215D">
              <w:rPr>
                <w:rtl/>
              </w:rPr>
              <w:t xml:space="preserve"> </w:t>
            </w:r>
            <w:r w:rsidRPr="00AD215D">
              <w:rPr>
                <w:rFonts w:hint="eastAsia"/>
                <w:rtl/>
              </w:rPr>
              <w:t>צו</w:t>
            </w:r>
            <w:r w:rsidRPr="00AD215D">
              <w:rPr>
                <w:rtl/>
              </w:rPr>
              <w:t xml:space="preserve"> </w:t>
            </w:r>
            <w:r w:rsidRPr="00AD215D">
              <w:rPr>
                <w:rFonts w:hint="eastAsia"/>
                <w:rtl/>
              </w:rPr>
              <w:t>עשה</w:t>
            </w:r>
            <w:r w:rsidRPr="00AD215D">
              <w:rPr>
                <w:rtl/>
              </w:rPr>
              <w:t xml:space="preserve"> </w:t>
            </w:r>
            <w:r w:rsidRPr="00AD215D">
              <w:rPr>
                <w:rFonts w:hint="eastAsia"/>
                <w:rtl/>
              </w:rPr>
              <w:t>לתיקון</w:t>
            </w:r>
            <w:r w:rsidRPr="00AD215D">
              <w:rPr>
                <w:rtl/>
              </w:rPr>
              <w:t xml:space="preserve"> </w:t>
            </w:r>
            <w:r w:rsidRPr="00AD215D">
              <w:rPr>
                <w:rFonts w:hint="eastAsia"/>
                <w:rtl/>
              </w:rPr>
              <w:t>ההפרה</w:t>
            </w:r>
            <w:r>
              <w:rPr>
                <w:rFonts w:hint="cs"/>
                <w:rtl/>
              </w:rPr>
              <w:t>."</w:t>
            </w:r>
          </w:p>
        </w:tc>
      </w:tr>
    </w:tbl>
    <w:p w14:paraId="33624D89" w14:textId="608B6C6A" w:rsidR="0086525B" w:rsidRPr="00CF7AA5" w:rsidRDefault="002D1EE3" w:rsidP="0086525B">
      <w:pPr>
        <w:pStyle w:val="HeadDivreiHesber"/>
        <w:rPr>
          <w:rtl/>
        </w:rPr>
      </w:pPr>
      <w:r w:rsidRPr="00CF7AA5">
        <w:rPr>
          <w:rFonts w:hint="eastAsia"/>
          <w:rtl/>
        </w:rPr>
        <w:t>דברי</w:t>
      </w:r>
      <w:r w:rsidRPr="00CF7AA5">
        <w:rPr>
          <w:rtl/>
        </w:rPr>
        <w:t xml:space="preserve"> </w:t>
      </w:r>
      <w:r w:rsidRPr="00CF7AA5">
        <w:rPr>
          <w:rFonts w:hint="eastAsia"/>
          <w:rtl/>
        </w:rPr>
        <w:t>הסבר</w:t>
      </w:r>
    </w:p>
    <w:p w14:paraId="3BC4A366" w14:textId="73B1EFA6" w:rsidR="00D35B8A" w:rsidRDefault="0086525B" w:rsidP="00702409">
      <w:pPr>
        <w:pStyle w:val="Hesber"/>
        <w:rPr>
          <w:rtl/>
        </w:rPr>
      </w:pPr>
      <w:r w:rsidRPr="0086525B">
        <w:rPr>
          <w:rtl/>
        </w:rPr>
        <w:t xml:space="preserve">הצעת חוק זו נועדה להתמודד עם המצב המשפטי הנוכחי </w:t>
      </w:r>
      <w:r w:rsidR="00D35B8A">
        <w:rPr>
          <w:rFonts w:hint="cs"/>
          <w:rtl/>
        </w:rPr>
        <w:t>של פיצול סעדים ב</w:t>
      </w:r>
      <w:r w:rsidR="00D35B8A" w:rsidRPr="0086525B">
        <w:rPr>
          <w:rtl/>
        </w:rPr>
        <w:t xml:space="preserve">שתי ערכאות שונות בשל חלוקת הסמכויות הענייניות בין הערכאות. </w:t>
      </w:r>
    </w:p>
    <w:p w14:paraId="6AEAC83D" w14:textId="77EC63EA" w:rsidR="00D35B8A" w:rsidRDefault="00D35B8A" w:rsidP="00A56DF2">
      <w:pPr>
        <w:pStyle w:val="Hesber"/>
        <w:rPr>
          <w:rtl/>
        </w:rPr>
      </w:pPr>
      <w:r>
        <w:rPr>
          <w:rFonts w:hint="cs"/>
          <w:rtl/>
        </w:rPr>
        <w:t xml:space="preserve">סעד לפיצוי כספי נדרש </w:t>
      </w:r>
      <w:r w:rsidR="0086525B" w:rsidRPr="0086525B">
        <w:rPr>
          <w:rtl/>
        </w:rPr>
        <w:t xml:space="preserve">בגין עוולה מכוח חוק איסור הפליה במוצרים בשירותים ובכניסה למקומות בידור ולמקומות ציבוריים, </w:t>
      </w:r>
      <w:r w:rsidR="00F9237F">
        <w:rPr>
          <w:rFonts w:hint="cs"/>
          <w:rtl/>
        </w:rPr>
        <w:t>ה</w:t>
      </w:r>
      <w:r w:rsidR="0086525B" w:rsidRPr="0086525B">
        <w:rPr>
          <w:rtl/>
        </w:rPr>
        <w:t>תשס"א</w:t>
      </w:r>
      <w:r w:rsidR="00F9237F">
        <w:rPr>
          <w:rFonts w:hint="cs"/>
          <w:rtl/>
        </w:rPr>
        <w:t>–</w:t>
      </w:r>
      <w:r w:rsidR="00A56DF2">
        <w:rPr>
          <w:rtl/>
        </w:rPr>
        <w:t>2000 (להלן</w:t>
      </w:r>
      <w:r w:rsidR="00A56DF2">
        <w:rPr>
          <w:rFonts w:hint="cs"/>
          <w:rtl/>
        </w:rPr>
        <w:t xml:space="preserve"> – </w:t>
      </w:r>
      <w:r w:rsidR="0086525B" w:rsidRPr="00AD215D">
        <w:rPr>
          <w:rtl/>
        </w:rPr>
        <w:t>חוק</w:t>
      </w:r>
      <w:r w:rsidR="00A56DF2">
        <w:rPr>
          <w:rFonts w:hint="cs"/>
          <w:rtl/>
        </w:rPr>
        <w:t xml:space="preserve"> איסור הפליה</w:t>
      </w:r>
      <w:r w:rsidR="0086525B" w:rsidRPr="0086525B">
        <w:rPr>
          <w:rtl/>
        </w:rPr>
        <w:t>)</w:t>
      </w:r>
      <w:r>
        <w:rPr>
          <w:rFonts w:hint="cs"/>
          <w:rtl/>
        </w:rPr>
        <w:t xml:space="preserve">, בסכום </w:t>
      </w:r>
      <w:r w:rsidRPr="0086525B">
        <w:rPr>
          <w:rtl/>
        </w:rPr>
        <w:t xml:space="preserve">שלא יעלה על 50,000 </w:t>
      </w:r>
      <w:r w:rsidR="00A56DF2">
        <w:rPr>
          <w:rFonts w:hint="cs"/>
          <w:rtl/>
        </w:rPr>
        <w:t>שקלים חדשים</w:t>
      </w:r>
      <w:r w:rsidRPr="0086525B">
        <w:rPr>
          <w:rtl/>
        </w:rPr>
        <w:t xml:space="preserve"> בלא הוכחת נזק</w:t>
      </w:r>
      <w:r>
        <w:rPr>
          <w:rFonts w:hint="cs"/>
          <w:rtl/>
        </w:rPr>
        <w:t>,</w:t>
      </w:r>
      <w:r w:rsidRPr="0086525B">
        <w:rPr>
          <w:rtl/>
        </w:rPr>
        <w:t xml:space="preserve"> הי</w:t>
      </w:r>
      <w:r w:rsidR="00A56DF2">
        <w:rPr>
          <w:rFonts w:hint="cs"/>
          <w:rtl/>
        </w:rPr>
        <w:t>א</w:t>
      </w:r>
      <w:r w:rsidRPr="0086525B">
        <w:rPr>
          <w:rtl/>
        </w:rPr>
        <w:t xml:space="preserve"> בסמכותו העניינית של בית משפט השלום וזאת מכוח סעיף 51(א)(2) לחוק בתי המשפט [נוסח משולב], </w:t>
      </w:r>
      <w:r w:rsidR="00A56DF2">
        <w:rPr>
          <w:rFonts w:hint="cs"/>
          <w:rtl/>
        </w:rPr>
        <w:t>ה</w:t>
      </w:r>
      <w:r w:rsidRPr="0086525B">
        <w:rPr>
          <w:rtl/>
        </w:rPr>
        <w:t>תשמ"ד</w:t>
      </w:r>
      <w:r w:rsidR="00A56DF2">
        <w:rPr>
          <w:rFonts w:hint="cs"/>
          <w:rtl/>
        </w:rPr>
        <w:t>–</w:t>
      </w:r>
      <w:r w:rsidRPr="0086525B">
        <w:rPr>
          <w:rtl/>
        </w:rPr>
        <w:t xml:space="preserve">1984 </w:t>
      </w:r>
      <w:r w:rsidR="00A56DF2">
        <w:rPr>
          <w:rtl/>
        </w:rPr>
        <w:t>(להלן</w:t>
      </w:r>
      <w:r w:rsidR="00A56DF2">
        <w:rPr>
          <w:rFonts w:hint="cs"/>
          <w:rtl/>
        </w:rPr>
        <w:t xml:space="preserve"> – </w:t>
      </w:r>
      <w:r w:rsidRPr="00AD215D">
        <w:rPr>
          <w:rtl/>
        </w:rPr>
        <w:t>חוק בתי המשפט</w:t>
      </w:r>
      <w:r w:rsidRPr="00702409">
        <w:rPr>
          <w:rtl/>
        </w:rPr>
        <w:t>)</w:t>
      </w:r>
      <w:r w:rsidRPr="00702409">
        <w:rPr>
          <w:rFonts w:hint="cs"/>
          <w:rtl/>
        </w:rPr>
        <w:t>.</w:t>
      </w:r>
      <w:r w:rsidRPr="0086525B">
        <w:rPr>
          <w:rtl/>
        </w:rPr>
        <w:t xml:space="preserve"> </w:t>
      </w:r>
    </w:p>
    <w:p w14:paraId="1DAEB69B" w14:textId="748DCC04" w:rsidR="0086525B" w:rsidRPr="0086525B" w:rsidRDefault="00A56DF2" w:rsidP="0086525B">
      <w:pPr>
        <w:pStyle w:val="Hesber"/>
        <w:rPr>
          <w:rtl/>
        </w:rPr>
      </w:pPr>
      <w:r>
        <w:rPr>
          <w:rtl/>
        </w:rPr>
        <w:t>ואולם, מתן צו להפסקת ההפליה, ה</w:t>
      </w:r>
      <w:r w:rsidR="0086525B" w:rsidRPr="0086525B">
        <w:rPr>
          <w:rtl/>
        </w:rPr>
        <w:t>ו</w:t>
      </w:r>
      <w:r>
        <w:rPr>
          <w:rFonts w:hint="cs"/>
          <w:rtl/>
        </w:rPr>
        <w:t>א</w:t>
      </w:r>
      <w:r w:rsidR="0086525B" w:rsidRPr="0086525B">
        <w:rPr>
          <w:rtl/>
        </w:rPr>
        <w:t xml:space="preserve"> סעד שאינו ניתן לביטוי או הערכה כספית, וככזה הינו בסמכותו השיורית של בית המשפט המחוזי.</w:t>
      </w:r>
    </w:p>
    <w:p w14:paraId="38D6C270" w14:textId="0C781B42" w:rsidR="00D35B8A" w:rsidRDefault="0086525B" w:rsidP="00702409">
      <w:pPr>
        <w:pStyle w:val="Hesber"/>
        <w:rPr>
          <w:rtl/>
        </w:rPr>
      </w:pPr>
      <w:r w:rsidRPr="0086525B">
        <w:rPr>
          <w:rtl/>
        </w:rPr>
        <w:t xml:space="preserve">לאור ההלכה </w:t>
      </w:r>
      <w:r w:rsidRPr="00CF7AA5">
        <w:rPr>
          <w:rtl/>
        </w:rPr>
        <w:t>שנקבעה ב</w:t>
      </w:r>
      <w:hyperlink r:id="rId11" w:history="1">
        <w:r w:rsidRPr="00AD215D">
          <w:rPr>
            <w:rStyle w:val="Hyperlink"/>
            <w:color w:val="auto"/>
            <w:u w:val="none"/>
            <w:rtl/>
          </w:rPr>
          <w:t xml:space="preserve">ע"א 29/58 </w:t>
        </w:r>
        <w:r w:rsidRPr="00AD215D">
          <w:rPr>
            <w:rStyle w:val="Hyperlink"/>
            <w:b/>
            <w:bCs/>
            <w:color w:val="auto"/>
            <w:u w:val="none"/>
            <w:rtl/>
          </w:rPr>
          <w:t xml:space="preserve">לוי נ' עקריש </w:t>
        </w:r>
        <w:r w:rsidRPr="00AD215D">
          <w:rPr>
            <w:rStyle w:val="Hyperlink"/>
            <w:color w:val="auto"/>
            <w:u w:val="none"/>
            <w:rtl/>
          </w:rPr>
          <w:t xml:space="preserve">וכן </w:t>
        </w:r>
      </w:hyperlink>
      <w:r w:rsidRPr="00CF7AA5">
        <w:rPr>
          <w:rtl/>
        </w:rPr>
        <w:t xml:space="preserve">ברע"א 7589/98 </w:t>
      </w:r>
      <w:r w:rsidRPr="00CF7AA5">
        <w:rPr>
          <w:b/>
          <w:bCs/>
          <w:rtl/>
        </w:rPr>
        <w:t xml:space="preserve">הפדרציה הישראלית לתקליטים </w:t>
      </w:r>
      <w:r w:rsidRPr="00CF7AA5">
        <w:rPr>
          <w:b/>
          <w:bCs/>
          <w:rtl/>
        </w:rPr>
        <w:lastRenderedPageBreak/>
        <w:t>וקלטות בע"מ נ' שוורץ</w:t>
      </w:r>
      <w:r w:rsidRPr="00CF7AA5">
        <w:rPr>
          <w:rtl/>
        </w:rPr>
        <w:t xml:space="preserve">, </w:t>
      </w:r>
      <w:r w:rsidRPr="0086525B">
        <w:rPr>
          <w:rtl/>
        </w:rPr>
        <w:t>כאשר תובעים שני סעדים שאינם נמצאים בסמכותו של בית משפט אחד, אין מנוס מפיצול הדיון לשתי הערכאות השונות</w:t>
      </w:r>
      <w:r w:rsidR="00D35B8A">
        <w:rPr>
          <w:rFonts w:hint="cs"/>
          <w:rtl/>
        </w:rPr>
        <w:t>.</w:t>
      </w:r>
      <w:r w:rsidRPr="0086525B">
        <w:rPr>
          <w:rtl/>
        </w:rPr>
        <w:t xml:space="preserve"> </w:t>
      </w:r>
    </w:p>
    <w:p w14:paraId="52A00DCE" w14:textId="03D1CE2D" w:rsidR="0086525B" w:rsidRPr="0086525B" w:rsidRDefault="00D35B8A" w:rsidP="00702409">
      <w:pPr>
        <w:pStyle w:val="Hesber"/>
        <w:rPr>
          <w:rtl/>
        </w:rPr>
      </w:pPr>
      <w:r>
        <w:rPr>
          <w:rFonts w:hint="cs"/>
          <w:rtl/>
        </w:rPr>
        <w:t>פיצול הסעדים הדרוש,</w:t>
      </w:r>
      <w:r w:rsidR="0086525B" w:rsidRPr="0086525B">
        <w:rPr>
          <w:rtl/>
        </w:rPr>
        <w:t xml:space="preserve"> </w:t>
      </w:r>
      <w:r>
        <w:rPr>
          <w:rFonts w:hint="cs"/>
          <w:rtl/>
        </w:rPr>
        <w:t xml:space="preserve">מחייב </w:t>
      </w:r>
      <w:r w:rsidR="0086525B" w:rsidRPr="0086525B">
        <w:rPr>
          <w:rtl/>
        </w:rPr>
        <w:t xml:space="preserve">הגשת שתי תביעות לשתי ערכאות שונות: פיצוי כספי יתבע בבית משפט השלום ותביעה לצו עשה או צו מניעה תוגש לבית משפט מחוזי. יצוין כי בית המשפט העליון מתח ביקורת חריפה על מצב זה (ראו למשל ע"א 3749/12 </w:t>
      </w:r>
      <w:r w:rsidR="0086525B" w:rsidRPr="0086525B">
        <w:rPr>
          <w:b/>
          <w:bCs/>
          <w:rtl/>
        </w:rPr>
        <w:t>בר עוז נ' סטר</w:t>
      </w:r>
      <w:r w:rsidR="0086525B" w:rsidRPr="0086525B">
        <w:rPr>
          <w:rtl/>
        </w:rPr>
        <w:t>), ובהקשר של קניין רוחני אף פעל המחוקק לתיקונו באופן המעניק סמכות לבית המשפט המחוזי על כלל הסעדים בנושא</w:t>
      </w:r>
      <w:r w:rsidR="007861D4">
        <w:rPr>
          <w:rFonts w:hint="cs"/>
          <w:rtl/>
        </w:rPr>
        <w:t>.</w:t>
      </w:r>
    </w:p>
    <w:p w14:paraId="7839F3FF" w14:textId="0126E050" w:rsidR="0086525B" w:rsidRPr="0086525B" w:rsidRDefault="0086525B" w:rsidP="0086525B">
      <w:pPr>
        <w:pStyle w:val="Hesber"/>
        <w:rPr>
          <w:rtl/>
        </w:rPr>
      </w:pPr>
      <w:r w:rsidRPr="0086525B">
        <w:rPr>
          <w:rtl/>
        </w:rPr>
        <w:t xml:space="preserve">ניהול שני הליכים באותו עניין בשתי ערכאות שונות אינו עניין רצוי, וזאת בשל חוסר היעילות הכרוך בכך, בשל השחתת זמן שיפוטי יקר, בשל הכבדה שלא לצורך על הצדדים המתדיינים ועדיהם וכן בשל הסכנה כי ערכאות שונות הדנות באותו העניין תגענה להחלטות סותרות, מה שיביא לפגיעה באמון הציבור במערכת בתי המשפט. </w:t>
      </w:r>
    </w:p>
    <w:p w14:paraId="129588B7" w14:textId="3488059E" w:rsidR="0086525B" w:rsidRPr="0086525B" w:rsidRDefault="0086525B" w:rsidP="00A56DF2">
      <w:pPr>
        <w:pStyle w:val="Hesber"/>
        <w:rPr>
          <w:rtl/>
        </w:rPr>
      </w:pPr>
      <w:r w:rsidRPr="0086525B">
        <w:rPr>
          <w:rtl/>
        </w:rPr>
        <w:t>אמנם, סעיף 75 לחוק בתי המשפט וסעיף 71 לפקודת הנזיקין</w:t>
      </w:r>
      <w:r w:rsidR="00A56DF2">
        <w:rPr>
          <w:rFonts w:hint="cs"/>
          <w:rtl/>
        </w:rPr>
        <w:t xml:space="preserve"> [נוסח חדש]</w:t>
      </w:r>
      <w:r w:rsidR="00AD215D">
        <w:rPr>
          <w:rFonts w:hint="cs"/>
          <w:rtl/>
        </w:rPr>
        <w:t>,</w:t>
      </w:r>
      <w:r w:rsidR="00AD215D">
        <w:rPr>
          <w:rtl/>
        </w:rPr>
        <w:t xml:space="preserve"> </w:t>
      </w:r>
      <w:r w:rsidR="00A56DF2">
        <w:rPr>
          <w:rtl/>
        </w:rPr>
        <w:t>שחל</w:t>
      </w:r>
      <w:r w:rsidR="00A56DF2">
        <w:rPr>
          <w:rFonts w:hint="cs"/>
          <w:rtl/>
        </w:rPr>
        <w:t xml:space="preserve">ים </w:t>
      </w:r>
      <w:r w:rsidRPr="0086525B">
        <w:rPr>
          <w:rtl/>
        </w:rPr>
        <w:t>על חו</w:t>
      </w:r>
      <w:r w:rsidR="00AD215D">
        <w:rPr>
          <w:rtl/>
        </w:rPr>
        <w:t xml:space="preserve">ק איסור הפליה לאור סעיף 5(א) </w:t>
      </w:r>
      <w:r w:rsidR="00A56DF2">
        <w:rPr>
          <w:rFonts w:hint="cs"/>
          <w:rtl/>
        </w:rPr>
        <w:t>שבו</w:t>
      </w:r>
      <w:r w:rsidRPr="0086525B">
        <w:rPr>
          <w:rtl/>
        </w:rPr>
        <w:t xml:space="preserve"> קובעים כי לבית משפט אזרחי יש סמכות ליתן צווים. ואולם, מפסיקות בתי המשפט שדנו בתביעות לפי חוק איסור הפליה עולה כי אין אחידות ביחס לשאלת סמכות בית משפט השלום ליתן צו להפסקת ההפליה אסורה, ומתן הצו נקבע בהתאם לשיקול דעתו של השופט היושב בדין ופרשנותו את החוק.  כך נוצר מצב של חוסר ודאות שיפוטי, שאינו רצוי. </w:t>
      </w:r>
    </w:p>
    <w:p w14:paraId="0DAA82CA" w14:textId="53BD522F" w:rsidR="0086525B" w:rsidRPr="0086525B" w:rsidRDefault="00A56DF2" w:rsidP="00A56DF2">
      <w:pPr>
        <w:pStyle w:val="Hesber"/>
        <w:rPr>
          <w:rtl/>
        </w:rPr>
      </w:pPr>
      <w:r>
        <w:rPr>
          <w:rtl/>
        </w:rPr>
        <w:t>מטרת חוק איסור הפליה</w:t>
      </w:r>
      <w:r w:rsidR="0086525B" w:rsidRPr="0086525B">
        <w:rPr>
          <w:rtl/>
        </w:rPr>
        <w:t>, היא להביא להנחלת נורמות של שוויון בכל מקום המעניק שירות לציבור. מטרה זו אינה ממומשת במלואה כאשר לבית המשפט הדן בתביעת פיצויים חסרה הסמכות להורות על הפסקת האפליה באמצעות מת</w:t>
      </w:r>
      <w:r>
        <w:rPr>
          <w:rtl/>
        </w:rPr>
        <w:t>ן צו</w:t>
      </w:r>
      <w:r w:rsidR="0086525B" w:rsidRPr="0086525B">
        <w:rPr>
          <w:rtl/>
        </w:rPr>
        <w:t>. כך יכול להיווצר מצב בו הגוף המפלה יחויב לשלם פיצויים לתובע אך ימשיך לבצע את ההפליה, בהעדר צו שיוציא בית המשפט. ככל שמדובר בגוף חזק מבחינה כלכלית, ישתלם לבעל העסק לשלם פיצוי לתובע ואף להסתכן בתביעות נוספות ויחד עם ז</w:t>
      </w:r>
      <w:r>
        <w:rPr>
          <w:rtl/>
        </w:rPr>
        <w:t xml:space="preserve">את להימנע מתיקון ההפליה. תיקון </w:t>
      </w:r>
      <w:r w:rsidR="0086525B" w:rsidRPr="0086525B">
        <w:rPr>
          <w:rtl/>
        </w:rPr>
        <w:t xml:space="preserve">חוק </w:t>
      </w:r>
      <w:r>
        <w:rPr>
          <w:rFonts w:hint="cs"/>
          <w:rtl/>
        </w:rPr>
        <w:t xml:space="preserve">איסור הפליה </w:t>
      </w:r>
      <w:r w:rsidR="0086525B" w:rsidRPr="0086525B">
        <w:rPr>
          <w:rtl/>
        </w:rPr>
        <w:t>מתחייב אפוא לצורך מאבק יעיל בהפליה.</w:t>
      </w:r>
    </w:p>
    <w:p w14:paraId="21FB6E06" w14:textId="76E9A2C7" w:rsidR="0086525B" w:rsidRDefault="0086525B" w:rsidP="0086525B">
      <w:pPr>
        <w:pStyle w:val="Hesber"/>
        <w:rPr>
          <w:rtl/>
        </w:rPr>
      </w:pPr>
      <w:r w:rsidRPr="0086525B">
        <w:rPr>
          <w:rtl/>
        </w:rPr>
        <w:t xml:space="preserve">לאור האמור לעיל מוצע לתקן את חוק איסור הפליה באופן שתיקבע בו הוראה מפורשת לפיה בית המשפט הדן בתביעה אזרחית מכוח איסור הפליה (בדרך כלל בית משפט השלום לאור הסכומים הנתבעים), יהא מוסמך ליתן צו להפסקת ההפליה האסורה ומניעת הישנותה.   </w:t>
      </w:r>
    </w:p>
    <w:p w14:paraId="2106C64B" w14:textId="1D6FBCDE" w:rsidR="00A56DF2" w:rsidRDefault="00A56DF2" w:rsidP="0086525B">
      <w:pPr>
        <w:pStyle w:val="Hesber"/>
        <w:rPr>
          <w:rtl/>
        </w:rPr>
      </w:pPr>
    </w:p>
    <w:p w14:paraId="5BD5356F" w14:textId="77777777" w:rsidR="00A56DF2" w:rsidRDefault="00A56DF2" w:rsidP="0086525B">
      <w:pPr>
        <w:pStyle w:val="Hesber"/>
        <w:rPr>
          <w:rtl/>
        </w:rPr>
      </w:pPr>
    </w:p>
    <w:p w14:paraId="7B272496" w14:textId="77777777" w:rsidR="00A56DF2" w:rsidRDefault="00A56DF2" w:rsidP="00A56DF2">
      <w:pPr>
        <w:pStyle w:val="Hesber"/>
        <w:rPr>
          <w:rtl/>
        </w:rPr>
      </w:pPr>
      <w:r>
        <w:rPr>
          <w:rtl/>
        </w:rPr>
        <w:t>---------------------------------</w:t>
      </w:r>
    </w:p>
    <w:p w14:paraId="27B37FEF" w14:textId="77777777" w:rsidR="00A56DF2" w:rsidRDefault="00A56DF2" w:rsidP="00A56DF2">
      <w:pPr>
        <w:pStyle w:val="Hesber"/>
        <w:rPr>
          <w:rtl/>
        </w:rPr>
      </w:pPr>
      <w:r>
        <w:rPr>
          <w:rtl/>
        </w:rPr>
        <w:t>הוגשה ליו"ר הכנסת והסגנים</w:t>
      </w:r>
    </w:p>
    <w:p w14:paraId="2C3FCDF7" w14:textId="77777777" w:rsidR="00A56DF2" w:rsidRDefault="00A56DF2" w:rsidP="00A56DF2">
      <w:pPr>
        <w:pStyle w:val="Hesber"/>
        <w:rPr>
          <w:rtl/>
        </w:rPr>
      </w:pPr>
      <w:r>
        <w:rPr>
          <w:rtl/>
        </w:rPr>
        <w:t>והונחה על שולחן הכנסת ביום</w:t>
      </w:r>
    </w:p>
    <w:p w14:paraId="26CD43EA" w14:textId="77777777" w:rsidR="00A56DF2" w:rsidRDefault="00A56DF2" w:rsidP="00A56DF2">
      <w:pPr>
        <w:pStyle w:val="Hesber"/>
        <w:rPr>
          <w:rtl/>
        </w:rPr>
      </w:pPr>
      <w:r>
        <w:rPr>
          <w:rtl/>
        </w:rPr>
        <w:t>כ"ד בשבט התשע"ז - 20.2.17</w:t>
      </w:r>
    </w:p>
    <w:p w14:paraId="2D664683" w14:textId="77777777" w:rsidR="00A56DF2" w:rsidRDefault="00A56DF2" w:rsidP="0086525B">
      <w:pPr>
        <w:pStyle w:val="Hesber"/>
        <w:rPr>
          <w:rtl/>
        </w:rPr>
      </w:pPr>
    </w:p>
    <w:sectPr w:rsidR="00A56DF2" w:rsidSect="001207F8">
      <w:footerReference w:type="even" r:id="rId12"/>
      <w:footerReference w:type="default" r:id="rId13"/>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7D27D4">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4F624B99" w14:textId="77777777" w:rsidR="0086525B" w:rsidRDefault="0086525B" w:rsidP="0086525B">
      <w:pPr>
        <w:pStyle w:val="a4"/>
      </w:pPr>
      <w:r>
        <w:rPr>
          <w:rStyle w:val="a6"/>
        </w:rPr>
        <w:footnoteRef/>
      </w:r>
      <w:r>
        <w:rPr>
          <w:rtl/>
        </w:rPr>
        <w:t xml:space="preserve"> ס"ח התשס"א, ע"מ 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429F6"/>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6D369B"/>
    <w:rsid w:val="00702409"/>
    <w:rsid w:val="0070601E"/>
    <w:rsid w:val="00712C72"/>
    <w:rsid w:val="00735FE9"/>
    <w:rsid w:val="00763CAA"/>
    <w:rsid w:val="00765F66"/>
    <w:rsid w:val="007861D4"/>
    <w:rsid w:val="0078664F"/>
    <w:rsid w:val="007C3FA6"/>
    <w:rsid w:val="007D27D4"/>
    <w:rsid w:val="007D585A"/>
    <w:rsid w:val="007D5A12"/>
    <w:rsid w:val="007E59F9"/>
    <w:rsid w:val="00810BCD"/>
    <w:rsid w:val="00812C98"/>
    <w:rsid w:val="00814D92"/>
    <w:rsid w:val="0083181D"/>
    <w:rsid w:val="00843EB2"/>
    <w:rsid w:val="0086525B"/>
    <w:rsid w:val="00865572"/>
    <w:rsid w:val="00874BBC"/>
    <w:rsid w:val="00892135"/>
    <w:rsid w:val="00895449"/>
    <w:rsid w:val="00897879"/>
    <w:rsid w:val="008A6870"/>
    <w:rsid w:val="008C210D"/>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56DF2"/>
    <w:rsid w:val="00A6611D"/>
    <w:rsid w:val="00A82CB7"/>
    <w:rsid w:val="00A942C1"/>
    <w:rsid w:val="00AA2F03"/>
    <w:rsid w:val="00AC36F7"/>
    <w:rsid w:val="00AC63A4"/>
    <w:rsid w:val="00AD215D"/>
    <w:rsid w:val="00AD239E"/>
    <w:rsid w:val="00B10265"/>
    <w:rsid w:val="00B16A99"/>
    <w:rsid w:val="00B21211"/>
    <w:rsid w:val="00B35784"/>
    <w:rsid w:val="00B733A7"/>
    <w:rsid w:val="00B75C91"/>
    <w:rsid w:val="00B975AD"/>
    <w:rsid w:val="00BC45FB"/>
    <w:rsid w:val="00BF148D"/>
    <w:rsid w:val="00C23B1A"/>
    <w:rsid w:val="00C310EB"/>
    <w:rsid w:val="00C9176A"/>
    <w:rsid w:val="00CF1AA2"/>
    <w:rsid w:val="00CF7AA5"/>
    <w:rsid w:val="00D17774"/>
    <w:rsid w:val="00D35B8A"/>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628D6"/>
    <w:rsid w:val="00F67051"/>
    <w:rsid w:val="00F86A1E"/>
    <w:rsid w:val="00F9237F"/>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semiHidden/>
    <w:locked/>
    <w:rsid w:val="0086525B"/>
    <w:rPr>
      <w:rFonts w:ascii="Arial" w:eastAsia="Arial Unicode MS" w:hAnsi="Arial" w:cs="David"/>
      <w:snapToGrid w:val="0"/>
      <w:color w:val="000000"/>
      <w:sz w:val="14"/>
      <w:lang w:eastAsia="ja-JP"/>
    </w:rPr>
  </w:style>
  <w:style w:type="character" w:styleId="Hyperlink">
    <w:name w:val="Hyperlink"/>
    <w:basedOn w:val="a0"/>
    <w:unhideWhenUsed/>
    <w:rsid w:val="0086525B"/>
    <w:rPr>
      <w:color w:val="0000FF" w:themeColor="hyperlink"/>
      <w:u w:val="single"/>
    </w:rPr>
  </w:style>
  <w:style w:type="character" w:customStyle="1" w:styleId="default">
    <w:name w:val="default"/>
    <w:basedOn w:val="a0"/>
    <w:rsid w:val="00F9237F"/>
    <w:rPr>
      <w:rFonts w:ascii="Times New Roman" w:hAnsi="Times New Roman" w:cs="Times New Roman"/>
      <w:sz w:val="26"/>
      <w:szCs w:val="26"/>
    </w:rPr>
  </w:style>
  <w:style w:type="paragraph" w:styleId="ae">
    <w:name w:val="Revision"/>
    <w:hidden/>
    <w:uiPriority w:val="99"/>
    <w:semiHidden/>
    <w:rsid w:val="00702409"/>
    <w:rPr>
      <w:rFonts w:ascii="Hadasa Roso SL" w:hAnsi="Hadasa Roso SL" w:cs="Hadasa Roso SL"/>
      <w:color w:val="000000"/>
      <w:spacing w:val="1"/>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vo.co.il/links/psika/?link=&#1506;&#1488;%2029/58&amp;Pvol=&#1497;&#148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E850EE3B-73C0-461F-8702-43A25517F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4AFE3-9455-419C-8851-785A55F44517}">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8830F30-5457-423F-96C7-4ABCF377F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600</Words>
  <Characters>2850</Characters>
  <Application>Microsoft Office Word</Application>
  <DocSecurity>0</DocSecurity>
  <Lines>219</Lines>
  <Paragraphs>114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אילת וולברג</cp:lastModifiedBy>
  <cp:revision>12</cp:revision>
  <cp:lastPrinted>2017-02-16T09:43:00Z</cp:lastPrinted>
  <dcterms:created xsi:type="dcterms:W3CDTF">2015-04-20T09:58:00Z</dcterms:created>
  <dcterms:modified xsi:type="dcterms:W3CDTF">2017-02-20T08:02:00Z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2013003</vt:r8>
  </property>
</Properties>
</file>