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2011757</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שולי מועלם-רפאלי</w:t>
      </w:r>
      <w:r>
        <w:br/>
      </w:r>
      <w:r>
        <w:rPr>
          <w:rFonts w:hint="cs"/>
          <w:b/>
          <w:bCs/>
          <w:rtl/>
        </w:rPr>
        <w:t xml:space="preserve"> </w:t>
      </w:r>
      <w:r>
        <w:tab/>
      </w:r>
      <w:r>
        <w:tab/>
      </w:r>
      <w:r>
        <w:tab/>
      </w:r>
      <w:r>
        <w:tab/>
      </w:r>
      <w:r>
        <w:rPr>
          <w:rFonts w:hint="cs"/>
          <w:b/>
          <w:bCs/>
          <w:rtl/>
        </w:rPr>
        <w:t>דוד ביטן</w:t>
      </w:r>
      <w:r>
        <w:br/>
      </w:r>
      <w:r>
        <w:rPr>
          <w:rFonts w:hint="cs"/>
          <w:b/>
          <w:bCs/>
          <w:rtl/>
        </w:rPr>
        <w:t xml:space="preserve"> </w:t>
      </w:r>
      <w:r>
        <w:tab/>
      </w:r>
      <w:r>
        <w:tab/>
      </w:r>
      <w:r>
        <w:tab/>
      </w:r>
      <w:r>
        <w:tab/>
      </w:r>
      <w:r>
        <w:rPr>
          <w:rFonts w:hint="cs"/>
          <w:b/>
          <w:bCs/>
          <w:rtl/>
        </w:rPr>
        <w:t>בצלאל סמוטריץ'</w:t>
      </w:r>
      <w:r>
        <w:br/>
      </w:r>
      <w:r>
        <w:rPr>
          <w:rFonts w:hint="cs"/>
          <w:b/>
          <w:bCs/>
          <w:rtl/>
        </w:rPr>
        <w:t xml:space="preserve"> </w:t>
      </w:r>
      <w:r>
        <w:tab/>
      </w:r>
      <w:r>
        <w:tab/>
      </w:r>
      <w:r>
        <w:tab/>
      </w:r>
      <w:r>
        <w:tab/>
      </w:r>
      <w:r>
        <w:rPr>
          <w:rFonts w:hint="cs"/>
          <w:b/>
          <w:bCs/>
          <w:rtl/>
        </w:rPr>
        <w:t>יואב קיש</w:t>
      </w:r>
      <w:r>
        <w:br/>
      </w:r>
      <w:r>
        <w:rPr>
          <w:rFonts w:hint="cs"/>
          <w:b/>
          <w:bCs/>
          <w:rtl/>
        </w:rPr>
        <w:t xml:space="preserve"> </w:t>
      </w:r>
      <w:r>
        <w:tab/>
      </w:r>
      <w:r>
        <w:tab/>
      </w:r>
      <w:r>
        <w:tab/>
      </w:r>
      <w:r>
        <w:tab/>
      </w:r>
      <w:r>
        <w:rPr>
          <w:rFonts w:hint="cs"/>
          <w:b/>
          <w:bCs/>
          <w:rtl/>
        </w:rPr>
        <w:t>יעקב מרגי</w:t>
      </w:r>
      <w:r>
        <w:br/>
      </w:r>
      <w:r>
        <w:rPr>
          <w:rFonts w:hint="cs"/>
          <w:b/>
          <w:bCs/>
          <w:rtl/>
        </w:rPr>
        <w:t xml:space="preserve"> </w:t>
      </w:r>
      <w:r>
        <w:tab/>
      </w:r>
      <w:r>
        <w:tab/>
      </w:r>
      <w:r>
        <w:tab/>
      </w:r>
      <w:r>
        <w:tab/>
      </w:r>
      <w:r>
        <w:rPr>
          <w:rFonts w:hint="cs"/>
          <w:b/>
          <w:bCs/>
          <w:rtl/>
        </w:rPr>
        <w:t>מרדכי יוגב</w:t>
      </w:r>
      <w:r>
        <w:br/>
      </w:r>
      <w:r>
        <w:rPr>
          <w:rFonts w:hint="cs"/>
          <w:b/>
          <w:bCs/>
          <w:rtl/>
        </w:rPr>
        <w:t xml:space="preserve"> </w:t>
      </w:r>
      <w:r>
        <w:tab/>
      </w:r>
      <w:r>
        <w:tab/>
      </w:r>
      <w:r>
        <w:tab/>
      </w:r>
      <w:r>
        <w:tab/>
      </w:r>
      <w:r>
        <w:rPr>
          <w:rFonts w:hint="cs"/>
          <w:b/>
          <w:bCs/>
          <w:rtl/>
        </w:rPr>
        <w:t>אמיר אוחנה</w:t>
      </w:r>
      <w:r>
        <w:br/>
      </w:r>
      <w:r>
        <w:rPr>
          <w:rFonts w:hint="cs"/>
          <w:b/>
          <w:bCs/>
          <w:rtl/>
        </w:rPr>
        <w:t xml:space="preserve"> </w:t>
      </w:r>
      <w:r>
        <w:tab/>
      </w:r>
      <w:r>
        <w:tab/>
      </w:r>
      <w:r>
        <w:tab/>
      </w:r>
      <w:r>
        <w:tab/>
      </w:r>
      <w:r>
        <w:rPr>
          <w:rFonts w:hint="cs"/>
          <w:b/>
          <w:bCs/>
          <w:rtl/>
        </w:rPr>
        <w:t>אברהם נגוסה</w:t>
      </w:r>
      <w:r>
        <w:br/>
      </w:r>
      <w:r>
        <w:rPr>
          <w:rFonts w:hint="cs"/>
          <w:b/>
          <w:bCs/>
          <w:rtl/>
        </w:rPr>
        <w:t xml:space="preserve"> </w:t>
      </w:r>
      <w:r>
        <w:tab/>
      </w:r>
      <w:r>
        <w:tab/>
      </w:r>
      <w:r>
        <w:tab/>
      </w:r>
      <w:r>
        <w:tab/>
      </w:r>
      <w:r>
        <w:rPr>
          <w:rFonts w:hint="cs"/>
          <w:b/>
          <w:bCs/>
          <w:rtl/>
        </w:rPr>
        <w:t>נורית קורן</w:t>
      </w:r>
      <w:r>
        <w:br/>
      </w:r>
      <w:r>
        <w:rPr>
          <w:rFonts w:hint="cs"/>
          <w:b/>
          <w:bCs/>
          <w:rtl/>
        </w:rPr>
        <w:t xml:space="preserve"> </w:t>
      </w:r>
      <w:r>
        <w:tab/>
      </w:r>
      <w:r>
        <w:tab/>
      </w:r>
      <w:r>
        <w:tab/>
      </w:r>
      <w:r>
        <w:tab/>
      </w:r>
      <w:r>
        <w:rPr>
          <w:rFonts w:hint="cs"/>
          <w:b/>
          <w:bCs/>
          <w:rtl/>
        </w:rPr>
        <w:t>ניסן סלומינסקי</w:t>
      </w:r>
      <w:r>
        <w:br/>
      </w:r>
      <w:r>
        <w:rPr>
          <w:rFonts w:hint="cs"/>
          <w:b/>
          <w:bCs/>
          <w:rtl/>
        </w:rPr>
        <w:t xml:space="preserve"> </w:t>
      </w:r>
      <w:r>
        <w:tab/>
      </w:r>
      <w:r>
        <w:tab/>
      </w:r>
      <w:r>
        <w:tab/>
      </w:r>
      <w:r>
        <w:tab/>
      </w:r>
      <w:r>
        <w:rPr>
          <w:rFonts w:hint="cs"/>
          <w:b/>
          <w:bCs/>
          <w:rtl/>
        </w:rPr>
        <w:t>מיכאל מלכיאלי</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4DD0D8F"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5F5E171E" w14:textId="20A1F3B2" w:rsidR="00BA4B41" w:rsidRPr="00BA4B41" w:rsidRDefault="00BA4B41" w:rsidP="00681BBE">
      <w:pPr>
        <w:pStyle w:val="HeadHatzaotHok"/>
        <w:rPr>
          <w:b w:val="0"/>
          <w:bCs w:val="0"/>
          <w:rtl/>
        </w:rPr>
      </w:pPr>
      <w:bookmarkStart w:id="6" w:name="LGS_Subject"/>
      <w:r>
        <w:rPr>
          <w:rtl/>
        </w:rPr>
        <w:tab/>
      </w:r>
      <w:r>
        <w:rPr>
          <w:rtl/>
        </w:rPr>
        <w:tab/>
      </w:r>
      <w:r>
        <w:rPr>
          <w:rtl/>
        </w:rPr>
        <w:tab/>
      </w:r>
      <w:r>
        <w:rPr>
          <w:rtl/>
        </w:rPr>
        <w:tab/>
      </w:r>
      <w:r>
        <w:rPr>
          <w:rFonts w:hint="cs"/>
          <w:rtl/>
        </w:rPr>
        <w:t xml:space="preserve">                       </w:t>
      </w:r>
      <w:bookmarkStart w:id="7" w:name="_GoBack"/>
      <w:bookmarkEnd w:id="7"/>
      <w:r>
        <w:rPr>
          <w:rFonts w:hint="cs"/>
          <w:rtl/>
        </w:rPr>
        <w:t xml:space="preserve"> </w:t>
      </w:r>
      <w:r w:rsidRPr="00BA4B41">
        <w:rPr>
          <w:rFonts w:hint="cs"/>
          <w:b w:val="0"/>
          <w:bCs w:val="0"/>
          <w:rtl/>
        </w:rPr>
        <w:t>פ/3913/20</w:t>
      </w:r>
    </w:p>
    <w:p w14:paraId="7F6961AD" w14:textId="557267BF" w:rsidR="00E13C27" w:rsidRPr="00F67051" w:rsidRDefault="00A443CF" w:rsidP="00681BBE">
      <w:pPr>
        <w:pStyle w:val="HeadHatzaotHok"/>
        <w:rPr>
          <w:rtl/>
        </w:rPr>
      </w:pPr>
      <w:r>
        <w:rPr>
          <w:rFonts w:hint="cs"/>
          <w:rtl/>
        </w:rPr>
        <w:t>הצעת חוק יישום תכנית ההתנתקות (תיקון – ביטול איסור הכניסה לצפון השומרון), התשע"ז</w:t>
      </w:r>
      <w:r w:rsidR="00681BBE">
        <w:rPr>
          <w:rFonts w:hint="eastAsia"/>
          <w:rtl/>
        </w:rPr>
        <w:t>–</w:t>
      </w:r>
      <w:r>
        <w:rPr>
          <w:rFonts w:hint="cs"/>
          <w:rtl/>
        </w:rPr>
        <w:t>2017</w:t>
      </w:r>
      <w:bookmarkEnd w:id="6"/>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2F1D80" w14:paraId="035EEF3D" w14:textId="77777777" w:rsidTr="002C3041">
        <w:trPr>
          <w:cantSplit/>
          <w:trHeight w:val="60"/>
        </w:trPr>
        <w:tc>
          <w:tcPr>
            <w:tcW w:w="1871" w:type="dxa"/>
          </w:tcPr>
          <w:p w14:paraId="3863FF98" w14:textId="49CB13B1" w:rsidR="002F1D80" w:rsidRDefault="00DF2583" w:rsidP="002C3041">
            <w:pPr>
              <w:pStyle w:val="TableSideHeading"/>
              <w:keepLines w:val="0"/>
            </w:pPr>
            <w:r>
              <w:rPr>
                <w:rFonts w:hint="cs"/>
                <w:rtl/>
              </w:rPr>
              <w:t>תיקון סעיף 24</w:t>
            </w:r>
          </w:p>
        </w:tc>
        <w:tc>
          <w:tcPr>
            <w:tcW w:w="624" w:type="dxa"/>
          </w:tcPr>
          <w:p w14:paraId="6F513EF6" w14:textId="763AD800" w:rsidR="002F1D80" w:rsidRDefault="00DF2583" w:rsidP="002C3041">
            <w:pPr>
              <w:pStyle w:val="TableText"/>
              <w:keepLines w:val="0"/>
            </w:pPr>
            <w:r>
              <w:rPr>
                <w:rFonts w:hint="cs"/>
                <w:rtl/>
              </w:rPr>
              <w:t>1.</w:t>
            </w:r>
          </w:p>
        </w:tc>
        <w:tc>
          <w:tcPr>
            <w:tcW w:w="7146" w:type="dxa"/>
          </w:tcPr>
          <w:p w14:paraId="1AE94DEB" w14:textId="44476FDF" w:rsidR="002F1D80" w:rsidRPr="00DF2583" w:rsidRDefault="00DF2583" w:rsidP="00DF2583">
            <w:pPr>
              <w:pStyle w:val="TableHead"/>
              <w:keepLines w:val="0"/>
              <w:jc w:val="both"/>
              <w:rPr>
                <w:b w:val="0"/>
                <w:bCs w:val="0"/>
              </w:rPr>
            </w:pPr>
            <w:r w:rsidRPr="00DF2583">
              <w:rPr>
                <w:b w:val="0"/>
                <w:bCs w:val="0"/>
                <w:rtl/>
              </w:rPr>
              <w:t xml:space="preserve">בחוק </w:t>
            </w:r>
            <w:r w:rsidRPr="00DF2583">
              <w:rPr>
                <w:rFonts w:hint="cs"/>
                <w:b w:val="0"/>
                <w:bCs w:val="0"/>
                <w:rtl/>
              </w:rPr>
              <w:t>יישום תכנית ההתנתקות</w:t>
            </w:r>
            <w:r w:rsidRPr="00DF2583">
              <w:rPr>
                <w:b w:val="0"/>
                <w:bCs w:val="0"/>
                <w:rtl/>
              </w:rPr>
              <w:t>, התש</w:t>
            </w:r>
            <w:r w:rsidRPr="00DF2583">
              <w:rPr>
                <w:rFonts w:hint="cs"/>
                <w:b w:val="0"/>
                <w:bCs w:val="0"/>
                <w:rtl/>
              </w:rPr>
              <w:t>ס"ה</w:t>
            </w:r>
            <w:r w:rsidRPr="00DF2583">
              <w:rPr>
                <w:b w:val="0"/>
                <w:bCs w:val="0"/>
                <w:rtl/>
              </w:rPr>
              <w:t>–</w:t>
            </w:r>
            <w:r w:rsidRPr="00DF2583">
              <w:rPr>
                <w:rFonts w:hint="cs"/>
                <w:b w:val="0"/>
                <w:bCs w:val="0"/>
                <w:rtl/>
              </w:rPr>
              <w:t>2005</w:t>
            </w:r>
            <w:r w:rsidR="00596698">
              <w:rPr>
                <w:rStyle w:val="a5"/>
                <w:b w:val="0"/>
                <w:bCs w:val="0"/>
                <w:rtl/>
              </w:rPr>
              <w:footnoteReference w:id="2"/>
            </w:r>
            <w:r w:rsidR="00EE7523">
              <w:rPr>
                <w:rFonts w:hint="cs"/>
                <w:b w:val="0"/>
                <w:bCs w:val="0"/>
                <w:rtl/>
              </w:rPr>
              <w:t xml:space="preserve"> (להלן </w:t>
            </w:r>
            <w:r w:rsidR="00EE7523">
              <w:rPr>
                <w:b w:val="0"/>
                <w:bCs w:val="0"/>
                <w:rtl/>
              </w:rPr>
              <w:t>–</w:t>
            </w:r>
            <w:r w:rsidR="00EE7523">
              <w:rPr>
                <w:rFonts w:hint="cs"/>
                <w:b w:val="0"/>
                <w:bCs w:val="0"/>
                <w:rtl/>
              </w:rPr>
              <w:t xml:space="preserve"> החוק העיקרי)</w:t>
            </w:r>
            <w:r w:rsidRPr="00DF2583">
              <w:rPr>
                <w:b w:val="0"/>
                <w:bCs w:val="0"/>
                <w:rtl/>
              </w:rPr>
              <w:t xml:space="preserve">, </w:t>
            </w:r>
            <w:r w:rsidR="00596698">
              <w:rPr>
                <w:rFonts w:hint="cs"/>
                <w:b w:val="0"/>
                <w:bCs w:val="0"/>
                <w:rtl/>
              </w:rPr>
              <w:t xml:space="preserve">בסעיף 24, </w:t>
            </w:r>
            <w:r w:rsidRPr="00DF2583">
              <w:rPr>
                <w:rFonts w:hint="cs"/>
                <w:b w:val="0"/>
                <w:bCs w:val="0"/>
                <w:rtl/>
              </w:rPr>
              <w:t>אחר</w:t>
            </w:r>
            <w:r w:rsidR="00596698">
              <w:rPr>
                <w:rFonts w:hint="cs"/>
                <w:b w:val="0"/>
                <w:bCs w:val="0"/>
                <w:rtl/>
              </w:rPr>
              <w:t>י</w:t>
            </w:r>
            <w:r w:rsidRPr="00DF2583">
              <w:rPr>
                <w:rFonts w:hint="cs"/>
                <w:b w:val="0"/>
                <w:bCs w:val="0"/>
                <w:rtl/>
              </w:rPr>
              <w:t xml:space="preserve"> סעיף קטן</w:t>
            </w:r>
            <w:r w:rsidR="00596698">
              <w:rPr>
                <w:rFonts w:hint="cs"/>
                <w:b w:val="0"/>
                <w:bCs w:val="0"/>
                <w:rtl/>
              </w:rPr>
              <w:t xml:space="preserve"> </w:t>
            </w:r>
            <w:r w:rsidRPr="00DF2583">
              <w:rPr>
                <w:rFonts w:hint="cs"/>
                <w:b w:val="0"/>
                <w:bCs w:val="0"/>
                <w:rtl/>
              </w:rPr>
              <w:t>(ב) יבוא:</w:t>
            </w:r>
          </w:p>
        </w:tc>
      </w:tr>
      <w:tr w:rsidR="002F1D80" w14:paraId="3D9B61D1" w14:textId="77777777" w:rsidTr="002C3041">
        <w:trPr>
          <w:cantSplit/>
          <w:trHeight w:val="60"/>
        </w:trPr>
        <w:tc>
          <w:tcPr>
            <w:tcW w:w="1871" w:type="dxa"/>
          </w:tcPr>
          <w:p w14:paraId="6C0CB9D8" w14:textId="77777777" w:rsidR="002F1D80" w:rsidRDefault="002F1D80" w:rsidP="002C3041">
            <w:pPr>
              <w:pStyle w:val="TableSideHeading"/>
              <w:keepLines w:val="0"/>
            </w:pPr>
          </w:p>
        </w:tc>
        <w:tc>
          <w:tcPr>
            <w:tcW w:w="624" w:type="dxa"/>
          </w:tcPr>
          <w:p w14:paraId="3F4286A2" w14:textId="77777777" w:rsidR="002F1D80" w:rsidRDefault="002F1D80" w:rsidP="002C3041">
            <w:pPr>
              <w:pStyle w:val="TableText"/>
              <w:keepLines w:val="0"/>
            </w:pPr>
          </w:p>
        </w:tc>
        <w:tc>
          <w:tcPr>
            <w:tcW w:w="7146" w:type="dxa"/>
          </w:tcPr>
          <w:p w14:paraId="7633D5BB" w14:textId="0C4D710D" w:rsidR="002F1D80" w:rsidRPr="00DF2583" w:rsidRDefault="00DF2583" w:rsidP="00705846">
            <w:pPr>
              <w:pStyle w:val="TableBlock"/>
            </w:pPr>
            <w:r w:rsidRPr="00DF2583">
              <w:rPr>
                <w:rtl/>
              </w:rPr>
              <w:t>"(</w:t>
            </w:r>
            <w:r w:rsidRPr="00DF2583">
              <w:rPr>
                <w:rFonts w:hint="cs"/>
                <w:rtl/>
              </w:rPr>
              <w:t>ג</w:t>
            </w:r>
            <w:r w:rsidRPr="00DF2583">
              <w:rPr>
                <w:rtl/>
              </w:rPr>
              <w:t>)</w:t>
            </w:r>
            <w:r w:rsidRPr="00DF2583">
              <w:rPr>
                <w:rtl/>
              </w:rPr>
              <w:tab/>
            </w:r>
            <w:r w:rsidRPr="00DF2583">
              <w:rPr>
                <w:rFonts w:hint="cs"/>
                <w:rtl/>
              </w:rPr>
              <w:t>הוראות סעיף קטן (א) לא יחולו על השטח בצפון השומרון כ</w:t>
            </w:r>
            <w:r w:rsidR="00705846">
              <w:rPr>
                <w:rFonts w:hint="cs"/>
                <w:rtl/>
              </w:rPr>
              <w:t>משמעותו</w:t>
            </w:r>
            <w:r w:rsidRPr="00DF2583">
              <w:rPr>
                <w:rFonts w:hint="cs"/>
                <w:rtl/>
              </w:rPr>
              <w:t xml:space="preserve"> בסעיף 3.</w:t>
            </w:r>
            <w:r w:rsidR="000B29B6">
              <w:rPr>
                <w:rFonts w:hint="cs"/>
                <w:rtl/>
              </w:rPr>
              <w:t>"</w:t>
            </w:r>
          </w:p>
        </w:tc>
      </w:tr>
      <w:tr w:rsidR="00596698" w14:paraId="1C71F2E2" w14:textId="77777777" w:rsidTr="002C3041">
        <w:trPr>
          <w:cantSplit/>
          <w:trHeight w:val="60"/>
        </w:trPr>
        <w:tc>
          <w:tcPr>
            <w:tcW w:w="1871" w:type="dxa"/>
          </w:tcPr>
          <w:p w14:paraId="0A23D6E8" w14:textId="61695815" w:rsidR="00596698" w:rsidRDefault="00961B41" w:rsidP="002C3041">
            <w:pPr>
              <w:pStyle w:val="TableSideHeading"/>
              <w:keepLines w:val="0"/>
            </w:pPr>
            <w:r>
              <w:rPr>
                <w:rFonts w:hint="cs"/>
                <w:rtl/>
              </w:rPr>
              <w:t>הוראות מעבר</w:t>
            </w:r>
          </w:p>
        </w:tc>
        <w:tc>
          <w:tcPr>
            <w:tcW w:w="624" w:type="dxa"/>
          </w:tcPr>
          <w:p w14:paraId="1BF836A9" w14:textId="00BDC0CD" w:rsidR="00596698" w:rsidRDefault="00961B41" w:rsidP="002C3041">
            <w:pPr>
              <w:pStyle w:val="TableText"/>
              <w:keepLines w:val="0"/>
            </w:pPr>
            <w:r>
              <w:rPr>
                <w:rFonts w:hint="cs"/>
                <w:rtl/>
              </w:rPr>
              <w:t>2.</w:t>
            </w:r>
          </w:p>
        </w:tc>
        <w:tc>
          <w:tcPr>
            <w:tcW w:w="7146" w:type="dxa"/>
          </w:tcPr>
          <w:p w14:paraId="1C55A399" w14:textId="54A94ABA" w:rsidR="00596698" w:rsidRDefault="00596698" w:rsidP="00A840D3">
            <w:pPr>
              <w:pStyle w:val="TableBlock"/>
              <w:rPr>
                <w:rtl/>
              </w:rPr>
            </w:pPr>
            <w:r w:rsidRPr="00DF2583">
              <w:rPr>
                <w:rFonts w:hint="cs"/>
                <w:rtl/>
              </w:rPr>
              <w:t xml:space="preserve">צווים </w:t>
            </w:r>
            <w:r w:rsidR="00961B41">
              <w:rPr>
                <w:rFonts w:hint="cs"/>
                <w:rtl/>
              </w:rPr>
              <w:t xml:space="preserve">שניתנו </w:t>
            </w:r>
            <w:r w:rsidR="003072E4">
              <w:rPr>
                <w:rFonts w:hint="cs"/>
                <w:rtl/>
              </w:rPr>
              <w:t>לפי סעיף 22 לחוק העיקרי</w:t>
            </w:r>
            <w:r w:rsidR="00A840D3">
              <w:rPr>
                <w:rFonts w:hint="cs"/>
                <w:rtl/>
              </w:rPr>
              <w:t>, ערב פרסומו של חוק זה</w:t>
            </w:r>
            <w:r w:rsidR="003072E4">
              <w:rPr>
                <w:rFonts w:hint="cs"/>
                <w:rtl/>
              </w:rPr>
              <w:t xml:space="preserve">, </w:t>
            </w:r>
            <w:r w:rsidR="006C5B2A">
              <w:rPr>
                <w:rFonts w:hint="cs"/>
                <w:rtl/>
              </w:rPr>
              <w:t>לגבי שטח מפונה</w:t>
            </w:r>
            <w:r w:rsidR="00A840D3">
              <w:rPr>
                <w:rFonts w:hint="cs"/>
                <w:rtl/>
              </w:rPr>
              <w:t xml:space="preserve"> </w:t>
            </w:r>
            <w:r w:rsidR="006C5B2A">
              <w:rPr>
                <w:rFonts w:hint="cs"/>
                <w:rtl/>
              </w:rPr>
              <w:t xml:space="preserve">המצוי בשטח בצפון השומרון </w:t>
            </w:r>
            <w:r w:rsidR="00AB5B3C">
              <w:rPr>
                <w:rtl/>
              </w:rPr>
              <w:t>–</w:t>
            </w:r>
            <w:r w:rsidR="00AB5B3C">
              <w:rPr>
                <w:rFonts w:hint="cs"/>
                <w:rtl/>
              </w:rPr>
              <w:t xml:space="preserve"> בטלים</w:t>
            </w:r>
            <w:r w:rsidR="00210CD0">
              <w:rPr>
                <w:rFonts w:hint="cs"/>
                <w:rtl/>
              </w:rPr>
              <w:t xml:space="preserve">; בסעיף זה </w:t>
            </w:r>
            <w:r w:rsidR="00210CD0">
              <w:rPr>
                <w:rFonts w:hint="eastAsia"/>
                <w:rtl/>
              </w:rPr>
              <w:t>–</w:t>
            </w:r>
          </w:p>
        </w:tc>
      </w:tr>
      <w:tr w:rsidR="00A840D3" w14:paraId="0B5E6195" w14:textId="77777777" w:rsidTr="002C3041">
        <w:trPr>
          <w:cantSplit/>
          <w:trHeight w:val="60"/>
        </w:trPr>
        <w:tc>
          <w:tcPr>
            <w:tcW w:w="1871" w:type="dxa"/>
          </w:tcPr>
          <w:p w14:paraId="6741B2CC" w14:textId="77777777" w:rsidR="00A840D3" w:rsidRDefault="00A840D3" w:rsidP="002C3041">
            <w:pPr>
              <w:pStyle w:val="TableSideHeading"/>
              <w:keepLines w:val="0"/>
              <w:rPr>
                <w:rtl/>
              </w:rPr>
            </w:pPr>
          </w:p>
        </w:tc>
        <w:tc>
          <w:tcPr>
            <w:tcW w:w="624" w:type="dxa"/>
          </w:tcPr>
          <w:p w14:paraId="5E753C63" w14:textId="77777777" w:rsidR="00A840D3" w:rsidRDefault="00A840D3" w:rsidP="00A840D3">
            <w:pPr>
              <w:pStyle w:val="TableText"/>
              <w:rPr>
                <w:rtl/>
              </w:rPr>
            </w:pPr>
          </w:p>
        </w:tc>
        <w:tc>
          <w:tcPr>
            <w:tcW w:w="7146" w:type="dxa"/>
          </w:tcPr>
          <w:p w14:paraId="529A7A9B" w14:textId="51B90728" w:rsidR="00A840D3" w:rsidRPr="00A840D3" w:rsidRDefault="00A840D3" w:rsidP="00A840D3">
            <w:pPr>
              <w:pStyle w:val="TableBlockOutdent"/>
              <w:rPr>
                <w:rtl/>
              </w:rPr>
            </w:pPr>
            <w:r w:rsidRPr="00A840D3">
              <w:rPr>
                <w:rFonts w:hint="cs"/>
                <w:rtl/>
              </w:rPr>
              <w:t xml:space="preserve">"שטח בצפון השומרון" </w:t>
            </w:r>
            <w:r w:rsidRPr="00A840D3">
              <w:rPr>
                <w:rtl/>
              </w:rPr>
              <w:t>–</w:t>
            </w:r>
            <w:r w:rsidRPr="00A840D3">
              <w:rPr>
                <w:rFonts w:hint="cs"/>
                <w:rtl/>
              </w:rPr>
              <w:t xml:space="preserve"> כמשמעותו בסעיף 3 לחוק העיקרי;</w:t>
            </w:r>
          </w:p>
        </w:tc>
      </w:tr>
      <w:tr w:rsidR="00A840D3" w14:paraId="468276B8" w14:textId="77777777" w:rsidTr="002C3041">
        <w:trPr>
          <w:cantSplit/>
          <w:trHeight w:val="60"/>
        </w:trPr>
        <w:tc>
          <w:tcPr>
            <w:tcW w:w="1871" w:type="dxa"/>
          </w:tcPr>
          <w:p w14:paraId="446F11D7" w14:textId="77777777" w:rsidR="00A840D3" w:rsidRDefault="00A840D3" w:rsidP="002C3041">
            <w:pPr>
              <w:pStyle w:val="TableSideHeading"/>
              <w:keepLines w:val="0"/>
              <w:rPr>
                <w:rtl/>
              </w:rPr>
            </w:pPr>
          </w:p>
        </w:tc>
        <w:tc>
          <w:tcPr>
            <w:tcW w:w="624" w:type="dxa"/>
          </w:tcPr>
          <w:p w14:paraId="740C2E9B" w14:textId="77777777" w:rsidR="00A840D3" w:rsidRDefault="00A840D3" w:rsidP="00A840D3">
            <w:pPr>
              <w:pStyle w:val="TableText"/>
              <w:rPr>
                <w:rtl/>
              </w:rPr>
            </w:pPr>
          </w:p>
        </w:tc>
        <w:tc>
          <w:tcPr>
            <w:tcW w:w="7146" w:type="dxa"/>
          </w:tcPr>
          <w:p w14:paraId="1264F7C8" w14:textId="7BCCC90E" w:rsidR="00A840D3" w:rsidRPr="00A840D3" w:rsidRDefault="00A840D3" w:rsidP="00A840D3">
            <w:pPr>
              <w:pStyle w:val="TableBlockOutdent"/>
              <w:rPr>
                <w:rtl/>
              </w:rPr>
            </w:pPr>
            <w:r w:rsidRPr="00A840D3">
              <w:rPr>
                <w:rFonts w:hint="cs"/>
                <w:rtl/>
              </w:rPr>
              <w:t xml:space="preserve">"שטח מפונה" </w:t>
            </w:r>
            <w:r w:rsidRPr="00A840D3">
              <w:rPr>
                <w:rtl/>
              </w:rPr>
              <w:t>–</w:t>
            </w:r>
            <w:r w:rsidRPr="00A840D3">
              <w:rPr>
                <w:rFonts w:hint="cs"/>
                <w:rtl/>
              </w:rPr>
              <w:t xml:space="preserve"> כהגדרתו בסעיף 2 לחוק העיקרי.</w:t>
            </w:r>
          </w:p>
        </w:tc>
      </w:tr>
    </w:tbl>
    <w:p w14:paraId="7F6961CA" w14:textId="77777777" w:rsidR="002D1EE3" w:rsidRDefault="002D1EE3" w:rsidP="002D1EE3">
      <w:pPr>
        <w:pStyle w:val="HeadDivreiHesber"/>
        <w:rPr>
          <w:rtl/>
        </w:rPr>
      </w:pPr>
      <w:r w:rsidRPr="0027450A">
        <w:rPr>
          <w:rFonts w:hint="cs"/>
          <w:rtl/>
        </w:rPr>
        <w:t>דברי הסבר</w:t>
      </w:r>
    </w:p>
    <w:p w14:paraId="3F55F78A" w14:textId="2BE7DAF9" w:rsidR="00DF2583" w:rsidRDefault="00DF2583" w:rsidP="0067411A">
      <w:pPr>
        <w:pStyle w:val="Hesber"/>
        <w:rPr>
          <w:rtl/>
        </w:rPr>
      </w:pPr>
      <w:r>
        <w:rPr>
          <w:rFonts w:hint="cs"/>
          <w:rtl/>
        </w:rPr>
        <w:t>לפני יותר מעשור חוקק החוק ליישום תכנית ההתנתקות</w:t>
      </w:r>
      <w:r w:rsidR="00EE7523">
        <w:rPr>
          <w:rFonts w:hint="cs"/>
          <w:rtl/>
        </w:rPr>
        <w:t>, התשס"ה</w:t>
      </w:r>
      <w:r w:rsidR="00EE7523">
        <w:rPr>
          <w:rFonts w:hint="eastAsia"/>
          <w:rtl/>
        </w:rPr>
        <w:t>–</w:t>
      </w:r>
      <w:r w:rsidR="00C02020">
        <w:rPr>
          <w:rFonts w:hint="cs"/>
          <w:rtl/>
        </w:rPr>
        <w:t>2005,</w:t>
      </w:r>
      <w:r>
        <w:rPr>
          <w:rFonts w:hint="cs"/>
          <w:rtl/>
        </w:rPr>
        <w:t xml:space="preserve"> שנועד להכשיר את עקירתם וגירושם של כ-10,000 איש מבתיהם, מפרנסתם וממרקם החיים שלהם בחבל עזה ובצפון השומרון. תכלית </w:t>
      </w:r>
      <w:r>
        <w:rPr>
          <w:rFonts w:hint="cs"/>
          <w:rtl/>
        </w:rPr>
        <w:lastRenderedPageBreak/>
        <w:t xml:space="preserve">תכנית ההתנתקות כפי שהוצגה בהחלטת הממשלה מס' 1996 מיום י"ז </w:t>
      </w:r>
      <w:r w:rsidR="00B968E1">
        <w:rPr>
          <w:rFonts w:hint="cs"/>
          <w:rtl/>
        </w:rPr>
        <w:t>ב</w:t>
      </w:r>
      <w:r>
        <w:rPr>
          <w:rFonts w:hint="cs"/>
          <w:rtl/>
        </w:rPr>
        <w:t xml:space="preserve">סיון </w:t>
      </w:r>
      <w:r w:rsidR="00B968E1">
        <w:rPr>
          <w:rFonts w:hint="cs"/>
          <w:rtl/>
        </w:rPr>
        <w:t>ה</w:t>
      </w:r>
      <w:r>
        <w:rPr>
          <w:rFonts w:hint="cs"/>
          <w:rtl/>
        </w:rPr>
        <w:t>תשס"ד (6.6.2004) הייתה: "להוביל למציאות ביטחונית, מדינית, כלכלית ודמוגרפית טובה יותר". כיום</w:t>
      </w:r>
      <w:r w:rsidR="00D75E2F">
        <w:rPr>
          <w:rFonts w:hint="cs"/>
          <w:rtl/>
        </w:rPr>
        <w:t>,</w:t>
      </w:r>
      <w:r>
        <w:rPr>
          <w:rFonts w:hint="cs"/>
          <w:rtl/>
        </w:rPr>
        <w:t xml:space="preserve"> ברי לכל כי תכנית ההתנתקות לא רק נכשלה בהשגת תכלית זו אלא גרמה לנזקים אדירים למדינת ישראל בדיוק בתחומים אלה.</w:t>
      </w:r>
      <w:r w:rsidRPr="003063A3">
        <w:rPr>
          <w:rFonts w:hint="cs"/>
          <w:rtl/>
        </w:rPr>
        <w:t xml:space="preserve"> </w:t>
      </w:r>
      <w:r>
        <w:rPr>
          <w:rFonts w:hint="cs"/>
          <w:rtl/>
        </w:rPr>
        <w:t>ל</w:t>
      </w:r>
      <w:r w:rsidR="0067411A">
        <w:rPr>
          <w:rFonts w:hint="cs"/>
          <w:rtl/>
        </w:rPr>
        <w:t>נוכח</w:t>
      </w:r>
      <w:r>
        <w:rPr>
          <w:rFonts w:hint="cs"/>
          <w:rtl/>
        </w:rPr>
        <w:t xml:space="preserve"> מצב דברים זה, </w:t>
      </w:r>
      <w:r w:rsidR="0067411A">
        <w:rPr>
          <w:rFonts w:hint="cs"/>
          <w:rtl/>
        </w:rPr>
        <w:t>מוצע לתקן את</w:t>
      </w:r>
      <w:r>
        <w:rPr>
          <w:rFonts w:hint="cs"/>
          <w:rtl/>
        </w:rPr>
        <w:t xml:space="preserve"> העיוות שגרמה תכנית ההתנתקות. </w:t>
      </w:r>
    </w:p>
    <w:p w14:paraId="60063A34" w14:textId="545D331B" w:rsidR="00DF2583" w:rsidRDefault="00DF2583" w:rsidP="00AB5B3C">
      <w:pPr>
        <w:pStyle w:val="Hesber"/>
        <w:rPr>
          <w:rtl/>
        </w:rPr>
      </w:pPr>
      <w:r>
        <w:rPr>
          <w:rFonts w:hint="cs"/>
          <w:rtl/>
        </w:rPr>
        <w:t>על אף ג</w:t>
      </w:r>
      <w:r w:rsidR="00D75E2F">
        <w:rPr>
          <w:rFonts w:hint="cs"/>
          <w:rtl/>
        </w:rPr>
        <w:t>י</w:t>
      </w:r>
      <w:r>
        <w:rPr>
          <w:rFonts w:hint="cs"/>
          <w:rtl/>
        </w:rPr>
        <w:t xml:space="preserve">רוש התושבים היהודים מצפון השומרון, לא חל בשטח המפונה כל שינוי מבחינת מעמד הקרקע והנוכחות הצבאית בו. לכן מתבקש כי תחילת תהליך השבת המצב לקדמותו, טרם תכנית ההתנתקות, תתבצע דווקא בצפון השומרון. לשם כך </w:t>
      </w:r>
      <w:r w:rsidR="00AB5B3C">
        <w:rPr>
          <w:rFonts w:hint="cs"/>
          <w:rtl/>
        </w:rPr>
        <w:t>מוצע</w:t>
      </w:r>
      <w:r>
        <w:rPr>
          <w:rFonts w:hint="cs"/>
          <w:rtl/>
        </w:rPr>
        <w:t xml:space="preserve"> לבטל את איסור כניסת אזרחים ישראלים לשטח ה</w:t>
      </w:r>
      <w:r w:rsidR="002956E0">
        <w:rPr>
          <w:rFonts w:hint="cs"/>
          <w:rtl/>
        </w:rPr>
        <w:t xml:space="preserve">מפונה בצפון השומרון, ולאפשר את </w:t>
      </w:r>
      <w:r>
        <w:rPr>
          <w:rFonts w:hint="cs"/>
          <w:rtl/>
        </w:rPr>
        <w:t>השבת המתיישבים היהודים ליישובים שנעקרו מהם.</w:t>
      </w:r>
    </w:p>
    <w:p w14:paraId="7F6961CB" w14:textId="0E27C516" w:rsidR="00E13C27" w:rsidRDefault="00E13C27" w:rsidP="00FD40E0">
      <w:pPr>
        <w:pStyle w:val="Hesber"/>
        <w:rPr>
          <w:rtl/>
        </w:rPr>
      </w:pPr>
    </w:p>
    <w:p w14:paraId="356E1156" w14:textId="77777777" w:rsidR="00D65FB5" w:rsidRPr="00D73212" w:rsidRDefault="00D65FB5" w:rsidP="00D65FB5">
      <w:pPr>
        <w:pStyle w:val="Hesber"/>
        <w:rPr>
          <w:color w:val="auto"/>
          <w:rtl/>
          <w:lang w:eastAsia="en-US"/>
        </w:rPr>
      </w:pPr>
      <w:r w:rsidRPr="00D73212">
        <w:rPr>
          <w:color w:val="auto"/>
          <w:rtl/>
          <w:lang w:eastAsia="en-US"/>
        </w:rPr>
        <w:t>---------------------------------</w:t>
      </w:r>
    </w:p>
    <w:p w14:paraId="5A9BF026" w14:textId="77777777" w:rsidR="00D65FB5" w:rsidRPr="00D73212" w:rsidRDefault="00D65FB5" w:rsidP="00D65FB5">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2B58CED4" w14:textId="77777777" w:rsidR="00D65FB5" w:rsidRPr="00D73212" w:rsidRDefault="00D65FB5" w:rsidP="00D65FB5">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09035982" w14:textId="77777777" w:rsidR="00D65FB5" w:rsidRPr="00317312" w:rsidRDefault="00D65FB5" w:rsidP="00D65FB5">
      <w:pPr>
        <w:pStyle w:val="Hesber"/>
      </w:pPr>
      <w:r>
        <w:rPr>
          <w:rFonts w:hint="cs"/>
          <w:color w:val="auto"/>
          <w:rtl/>
          <w:lang w:eastAsia="en-US"/>
        </w:rPr>
        <w:t>כ"ד בשבט</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20.2</w:t>
      </w:r>
      <w:r w:rsidRPr="00D73212">
        <w:rPr>
          <w:color w:val="auto"/>
          <w:rtl/>
          <w:lang w:eastAsia="en-US"/>
        </w:rPr>
        <w:t>.</w:t>
      </w:r>
      <w:r>
        <w:rPr>
          <w:rFonts w:hint="cs"/>
          <w:color w:val="auto"/>
          <w:rtl/>
          <w:lang w:eastAsia="en-US"/>
        </w:rPr>
        <w:t>17</w:t>
      </w:r>
    </w:p>
    <w:p w14:paraId="15682F84" w14:textId="77777777" w:rsidR="00D65FB5" w:rsidRDefault="00D65FB5" w:rsidP="00FD40E0">
      <w:pPr>
        <w:pStyle w:val="Hesber"/>
        <w:rPr>
          <w:rtl/>
        </w:rPr>
      </w:pPr>
    </w:p>
    <w:sectPr w:rsidR="00D65FB5"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2956E0">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0CC18A6E" w14:textId="6FCC540B" w:rsidR="00596698" w:rsidRDefault="00596698">
      <w:pPr>
        <w:pStyle w:val="a4"/>
        <w:rPr>
          <w:rtl/>
        </w:rPr>
      </w:pPr>
      <w:r>
        <w:rPr>
          <w:rStyle w:val="a5"/>
        </w:rPr>
        <w:footnoteRef/>
      </w:r>
      <w:r>
        <w:rPr>
          <w:rtl/>
        </w:rPr>
        <w:t xml:space="preserve"> </w:t>
      </w:r>
      <w:r>
        <w:rPr>
          <w:rFonts w:hint="cs"/>
          <w:rtl/>
        </w:rPr>
        <w:t>ס"ח התשס"ה, עמ' 142.</w:t>
      </w:r>
    </w:p>
    <w:p w14:paraId="0F5BD352" w14:textId="77777777" w:rsidR="00596698" w:rsidRDefault="00596698">
      <w:pPr>
        <w:pStyle w:val="a4"/>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704"/>
    <w:rsid w:val="0007681A"/>
    <w:rsid w:val="000A542E"/>
    <w:rsid w:val="000B29B6"/>
    <w:rsid w:val="00102B6B"/>
    <w:rsid w:val="001052D4"/>
    <w:rsid w:val="0010644B"/>
    <w:rsid w:val="00116103"/>
    <w:rsid w:val="001207F8"/>
    <w:rsid w:val="00121924"/>
    <w:rsid w:val="001279A8"/>
    <w:rsid w:val="0014195F"/>
    <w:rsid w:val="00152609"/>
    <w:rsid w:val="00153E1B"/>
    <w:rsid w:val="001A0623"/>
    <w:rsid w:val="001C23B0"/>
    <w:rsid w:val="001C4F08"/>
    <w:rsid w:val="001D7AAF"/>
    <w:rsid w:val="00203A7F"/>
    <w:rsid w:val="00210CD0"/>
    <w:rsid w:val="0021633A"/>
    <w:rsid w:val="002200A1"/>
    <w:rsid w:val="002362BF"/>
    <w:rsid w:val="00241B97"/>
    <w:rsid w:val="002425D1"/>
    <w:rsid w:val="00246756"/>
    <w:rsid w:val="00251E58"/>
    <w:rsid w:val="00254605"/>
    <w:rsid w:val="00266D86"/>
    <w:rsid w:val="002728B4"/>
    <w:rsid w:val="0027600C"/>
    <w:rsid w:val="00292712"/>
    <w:rsid w:val="002956E0"/>
    <w:rsid w:val="002A487D"/>
    <w:rsid w:val="002C2E29"/>
    <w:rsid w:val="002C3041"/>
    <w:rsid w:val="002D1EE3"/>
    <w:rsid w:val="002F1D80"/>
    <w:rsid w:val="003072E4"/>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96698"/>
    <w:rsid w:val="005B064E"/>
    <w:rsid w:val="005D51AE"/>
    <w:rsid w:val="0062674B"/>
    <w:rsid w:val="006363B2"/>
    <w:rsid w:val="00644940"/>
    <w:rsid w:val="0067411A"/>
    <w:rsid w:val="006818A9"/>
    <w:rsid w:val="00681BBE"/>
    <w:rsid w:val="006A2D81"/>
    <w:rsid w:val="006C1D0D"/>
    <w:rsid w:val="006C5B2A"/>
    <w:rsid w:val="00705846"/>
    <w:rsid w:val="0070601E"/>
    <w:rsid w:val="00712C72"/>
    <w:rsid w:val="00735FE9"/>
    <w:rsid w:val="00763CAA"/>
    <w:rsid w:val="00765F66"/>
    <w:rsid w:val="0078664F"/>
    <w:rsid w:val="007C3FA6"/>
    <w:rsid w:val="007D585A"/>
    <w:rsid w:val="007D5A12"/>
    <w:rsid w:val="007E59F9"/>
    <w:rsid w:val="007F02EB"/>
    <w:rsid w:val="00810BCD"/>
    <w:rsid w:val="00812C98"/>
    <w:rsid w:val="00814D92"/>
    <w:rsid w:val="0083181D"/>
    <w:rsid w:val="00843EB2"/>
    <w:rsid w:val="00865572"/>
    <w:rsid w:val="00874BBC"/>
    <w:rsid w:val="00892135"/>
    <w:rsid w:val="00895449"/>
    <w:rsid w:val="00895F09"/>
    <w:rsid w:val="00897879"/>
    <w:rsid w:val="008A6870"/>
    <w:rsid w:val="008C0A21"/>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6D9A"/>
    <w:rsid w:val="00957589"/>
    <w:rsid w:val="00961B41"/>
    <w:rsid w:val="00966D06"/>
    <w:rsid w:val="00982412"/>
    <w:rsid w:val="00983A8D"/>
    <w:rsid w:val="009A0DB8"/>
    <w:rsid w:val="009A7257"/>
    <w:rsid w:val="009D6E0A"/>
    <w:rsid w:val="009E1E33"/>
    <w:rsid w:val="00A14672"/>
    <w:rsid w:val="00A26BD6"/>
    <w:rsid w:val="00A443CF"/>
    <w:rsid w:val="00A6611D"/>
    <w:rsid w:val="00A765DC"/>
    <w:rsid w:val="00A82CB7"/>
    <w:rsid w:val="00A840D3"/>
    <w:rsid w:val="00A942C1"/>
    <w:rsid w:val="00AA2F03"/>
    <w:rsid w:val="00AB5B3C"/>
    <w:rsid w:val="00AC36F7"/>
    <w:rsid w:val="00AC63A4"/>
    <w:rsid w:val="00AD239E"/>
    <w:rsid w:val="00B10265"/>
    <w:rsid w:val="00B16A99"/>
    <w:rsid w:val="00B21211"/>
    <w:rsid w:val="00B35784"/>
    <w:rsid w:val="00B733A7"/>
    <w:rsid w:val="00B75C91"/>
    <w:rsid w:val="00B968E1"/>
    <w:rsid w:val="00B975AD"/>
    <w:rsid w:val="00BA4B41"/>
    <w:rsid w:val="00BC45FB"/>
    <w:rsid w:val="00BF148D"/>
    <w:rsid w:val="00C02020"/>
    <w:rsid w:val="00C23B1A"/>
    <w:rsid w:val="00C310EB"/>
    <w:rsid w:val="00C571C2"/>
    <w:rsid w:val="00C9176A"/>
    <w:rsid w:val="00CF1AA2"/>
    <w:rsid w:val="00D17774"/>
    <w:rsid w:val="00D63620"/>
    <w:rsid w:val="00D65FB5"/>
    <w:rsid w:val="00D75E2F"/>
    <w:rsid w:val="00D8410D"/>
    <w:rsid w:val="00D867D7"/>
    <w:rsid w:val="00DB7060"/>
    <w:rsid w:val="00DE3153"/>
    <w:rsid w:val="00DF2583"/>
    <w:rsid w:val="00E06736"/>
    <w:rsid w:val="00E13C27"/>
    <w:rsid w:val="00E33BBD"/>
    <w:rsid w:val="00E374F2"/>
    <w:rsid w:val="00E45103"/>
    <w:rsid w:val="00E55A60"/>
    <w:rsid w:val="00E62778"/>
    <w:rsid w:val="00E63D38"/>
    <w:rsid w:val="00E665B9"/>
    <w:rsid w:val="00EA01E6"/>
    <w:rsid w:val="00EA3DE8"/>
    <w:rsid w:val="00EA758F"/>
    <w:rsid w:val="00ED4A6F"/>
    <w:rsid w:val="00EE7523"/>
    <w:rsid w:val="00EF3A3A"/>
    <w:rsid w:val="00F628D6"/>
    <w:rsid w:val="00F67051"/>
    <w:rsid w:val="00F86A1E"/>
    <w:rsid w:val="00FA5E88"/>
    <w:rsid w:val="00FD40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D70C95F9-6702-4202-9C09-B5E8B1D56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4B5E84B4-12F7-4C4B-A681-970EBDAB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302</Words>
  <Characters>1515</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אילת וולברג</cp:lastModifiedBy>
  <cp:revision>27</cp:revision>
  <cp:lastPrinted>2017-02-16T12:03:00Z</cp:lastPrinted>
  <dcterms:created xsi:type="dcterms:W3CDTF">2015-04-20T09:58:00Z</dcterms:created>
  <dcterms:modified xsi:type="dcterms:W3CDTF">2017-02-16T13:44:00Z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2011757</vt:r8>
  </property>
</Properties>
</file>