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2012693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1E2BBF91" w:rsidR="00E13C27" w:rsidRPr="00CF1AA2" w:rsidRDefault="008F6665" w:rsidP="004C70B6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אילן גילאון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אלי אלאלוף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עאידה תומא סלימאן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מרב מיכאלי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יצחק וקנין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אברהם נגוסה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0D12E84F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  <w:r w:rsidR="004C70B6">
        <w:rPr>
          <w:rFonts w:hint="cs"/>
          <w:rtl/>
        </w:rPr>
        <w:t>פ/3845/20</w:t>
      </w:r>
    </w:p>
    <w:p w14:paraId="7F6961AE" w14:textId="4117A8BF" w:rsidR="00E13C27" w:rsidRDefault="00A443CF" w:rsidP="000778F4">
      <w:pPr>
        <w:pStyle w:val="HeadHatzaotHok"/>
        <w:rPr>
          <w:rtl/>
        </w:rPr>
      </w:pPr>
      <w:bookmarkStart w:id="6" w:name="LGS_Subject"/>
      <w:r>
        <w:rPr>
          <w:rFonts w:hint="cs"/>
          <w:rtl/>
        </w:rPr>
        <w:t xml:space="preserve">הצעת חוק בית המשפט לענייני משפחה (תיקון </w:t>
      </w:r>
      <w:r w:rsidR="000778F4">
        <w:rPr>
          <w:rFonts w:hint="eastAsia"/>
          <w:rtl/>
        </w:rPr>
        <w:t>–</w:t>
      </w:r>
      <w:r>
        <w:rPr>
          <w:rFonts w:hint="cs"/>
          <w:rtl/>
        </w:rPr>
        <w:t xml:space="preserve"> פטור מתשלום אגרה למקבלי הבטחת הכנסה), התשע"ז</w:t>
      </w:r>
      <w:r w:rsidR="000778F4">
        <w:rPr>
          <w:rFonts w:hint="eastAsia"/>
          <w:rtl/>
        </w:rPr>
        <w:t>–</w:t>
      </w:r>
      <w:r>
        <w:rPr>
          <w:rFonts w:hint="cs"/>
          <w:rtl/>
        </w:rPr>
        <w:t xml:space="preserve">2017 </w:t>
      </w:r>
      <w:bookmarkEnd w:id="6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14:paraId="035EEF3D" w14:textId="77777777" w:rsidTr="006C6C32">
        <w:trPr>
          <w:cantSplit/>
          <w:trHeight w:val="60"/>
        </w:trPr>
        <w:tc>
          <w:tcPr>
            <w:tcW w:w="1871" w:type="dxa"/>
          </w:tcPr>
          <w:p w14:paraId="3863FF98" w14:textId="7D2D7079" w:rsidR="002F1D80" w:rsidRDefault="007626A4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26</w:t>
            </w:r>
          </w:p>
        </w:tc>
        <w:tc>
          <w:tcPr>
            <w:tcW w:w="624" w:type="dxa"/>
          </w:tcPr>
          <w:p w14:paraId="6F513EF6" w14:textId="023C7077" w:rsidR="002F1D80" w:rsidRDefault="00B70FFF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1AE94DEB" w14:textId="00A37FF1" w:rsidR="002F1D80" w:rsidRPr="00B70FFF" w:rsidRDefault="00B70FFF" w:rsidP="000778F4">
            <w:pPr>
              <w:pStyle w:val="TableBlock"/>
            </w:pPr>
            <w:r w:rsidRPr="00B70FFF">
              <w:rPr>
                <w:rFonts w:hint="cs"/>
                <w:rtl/>
              </w:rPr>
              <w:t>בחוק ב</w:t>
            </w:r>
            <w:r w:rsidR="000778F4">
              <w:rPr>
                <w:rFonts w:hint="cs"/>
                <w:rtl/>
              </w:rPr>
              <w:t>ית</w:t>
            </w:r>
            <w:r w:rsidRPr="00B70FFF">
              <w:rPr>
                <w:rFonts w:hint="cs"/>
                <w:rtl/>
              </w:rPr>
              <w:t xml:space="preserve"> המשפט לענייני משפחה, </w:t>
            </w:r>
            <w:r w:rsidR="007626A4">
              <w:rPr>
                <w:rFonts w:hint="cs"/>
                <w:rtl/>
              </w:rPr>
              <w:t>ה</w:t>
            </w:r>
            <w:r w:rsidRPr="00B70FFF">
              <w:rPr>
                <w:rFonts w:hint="cs"/>
                <w:rtl/>
              </w:rPr>
              <w:t>תשנ"ה</w:t>
            </w:r>
            <w:r w:rsidR="007626A4">
              <w:rPr>
                <w:rFonts w:hint="eastAsia"/>
                <w:rtl/>
              </w:rPr>
              <w:t>–</w:t>
            </w:r>
            <w:r w:rsidRPr="00B70FFF">
              <w:rPr>
                <w:rFonts w:hint="cs"/>
                <w:rtl/>
              </w:rPr>
              <w:t>1995</w:t>
            </w:r>
            <w:r w:rsidR="007626A4">
              <w:rPr>
                <w:rStyle w:val="a5"/>
                <w:rtl/>
              </w:rPr>
              <w:footnoteReference w:id="2"/>
            </w:r>
            <w:r w:rsidRPr="00B70FFF">
              <w:rPr>
                <w:rFonts w:hint="cs"/>
                <w:rtl/>
              </w:rPr>
              <w:t xml:space="preserve">, </w:t>
            </w:r>
            <w:r w:rsidR="004C70B6">
              <w:rPr>
                <w:rFonts w:hint="cs"/>
                <w:rtl/>
              </w:rPr>
              <w:t>בסעיף 26</w:t>
            </w:r>
            <w:r w:rsidR="007626A4">
              <w:rPr>
                <w:rFonts w:hint="cs"/>
                <w:rtl/>
              </w:rPr>
              <w:t xml:space="preserve">(ג), האמור בו יסומן (3) ולפניו </w:t>
            </w:r>
            <w:r w:rsidRPr="00B70FFF">
              <w:rPr>
                <w:rFonts w:hint="cs"/>
                <w:rtl/>
              </w:rPr>
              <w:t>יבוא:</w:t>
            </w:r>
          </w:p>
        </w:tc>
      </w:tr>
      <w:tr w:rsidR="00E4374C" w14:paraId="7363D602" w14:textId="3135CFED" w:rsidTr="006C6C32">
        <w:trPr>
          <w:cantSplit/>
          <w:trHeight w:val="60"/>
        </w:trPr>
        <w:tc>
          <w:tcPr>
            <w:tcW w:w="1871" w:type="dxa"/>
          </w:tcPr>
          <w:p w14:paraId="4F6660AD" w14:textId="0F571F51" w:rsidR="00E4374C" w:rsidRDefault="00E4374C" w:rsidP="00785087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2597BBF8" w14:textId="1C5931BB" w:rsidR="00E4374C" w:rsidRDefault="00E4374C" w:rsidP="00E4374C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</w:tcPr>
          <w:p w14:paraId="4912DAE1" w14:textId="425BF0EC" w:rsidR="00E4374C" w:rsidRPr="00B70FFF" w:rsidRDefault="007626A4" w:rsidP="00785087">
            <w:pPr>
              <w:pStyle w:val="TableBlock"/>
              <w:tabs>
                <w:tab w:val="clear" w:pos="624"/>
                <w:tab w:val="clear" w:pos="1247"/>
                <w:tab w:val="left" w:pos="76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"(1) </w:t>
            </w:r>
            <w:r>
              <w:rPr>
                <w:rtl/>
              </w:rPr>
              <w:tab/>
            </w:r>
            <w:r w:rsidR="00E4374C">
              <w:rPr>
                <w:rFonts w:hint="cs"/>
                <w:rtl/>
              </w:rPr>
              <w:t xml:space="preserve">קבע שר המשפטים הוראות </w:t>
            </w:r>
            <w:r>
              <w:rPr>
                <w:rFonts w:hint="cs"/>
                <w:rtl/>
              </w:rPr>
              <w:t xml:space="preserve">בדבר פטור מאגרה </w:t>
            </w:r>
            <w:r w:rsidR="00E4374C">
              <w:rPr>
                <w:rFonts w:hint="cs"/>
                <w:rtl/>
              </w:rPr>
              <w:t xml:space="preserve">כאמור בסעיף </w:t>
            </w:r>
            <w:r w:rsidR="007057E5">
              <w:rPr>
                <w:rFonts w:hint="cs"/>
                <w:rtl/>
              </w:rPr>
              <w:t>קטן (א)(5)</w:t>
            </w:r>
            <w:r w:rsidR="00E4374C">
              <w:rPr>
                <w:rFonts w:hint="cs"/>
                <w:rtl/>
              </w:rPr>
              <w:t>, יפטור אדם שאין ביכולתו לשל</w:t>
            </w:r>
            <w:r w:rsidR="007057E5">
              <w:rPr>
                <w:rFonts w:hint="cs"/>
                <w:rtl/>
              </w:rPr>
              <w:t>מה;</w:t>
            </w:r>
          </w:p>
        </w:tc>
      </w:tr>
      <w:tr w:rsidR="00E4374C" w14:paraId="0290871C" w14:textId="41C963D2" w:rsidTr="006C6C32">
        <w:trPr>
          <w:cantSplit/>
          <w:trHeight w:val="60"/>
        </w:trPr>
        <w:tc>
          <w:tcPr>
            <w:tcW w:w="1871" w:type="dxa"/>
          </w:tcPr>
          <w:p w14:paraId="38735634" w14:textId="73E5E3EC" w:rsidR="00E4374C" w:rsidRDefault="00E4374C" w:rsidP="00E4374C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3BBEE115" w14:textId="5C3663E7" w:rsidR="00E4374C" w:rsidRDefault="00E4374C" w:rsidP="00E4374C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</w:tcPr>
          <w:p w14:paraId="24CDB474" w14:textId="1158F23F" w:rsidR="00E4374C" w:rsidRPr="00B70FFF" w:rsidRDefault="00E4374C" w:rsidP="0078508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9059B9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     קבלת גמלה לפי חוק הבטחת הכנסה, התשמ"א</w:t>
            </w:r>
            <w:r w:rsidR="009059B9"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1980</w:t>
            </w:r>
            <w:r w:rsidR="009059B9">
              <w:rPr>
                <w:rStyle w:val="a5"/>
                <w:rtl/>
              </w:rPr>
              <w:footnoteReference w:id="3"/>
            </w:r>
            <w:r w:rsidR="004C70B6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בעת הגשת הבקשה לפטור מאגרה, תשמש ראיה לכאורה לחוסר יכולתו של המבקש לשלם את האגרה כאמור בס</w:t>
            </w:r>
            <w:r w:rsidR="009059B9">
              <w:rPr>
                <w:rFonts w:hint="cs"/>
                <w:rtl/>
              </w:rPr>
              <w:t>עיף קטן</w:t>
            </w:r>
            <w:r>
              <w:rPr>
                <w:rFonts w:hint="cs"/>
                <w:rtl/>
              </w:rPr>
              <w:t xml:space="preserve"> (א</w:t>
            </w:r>
            <w:r w:rsidR="007057E5">
              <w:rPr>
                <w:rFonts w:hint="cs"/>
                <w:rtl/>
              </w:rPr>
              <w:t>);"</w:t>
            </w:r>
            <w:r w:rsidR="004C70B6">
              <w:rPr>
                <w:rFonts w:hint="cs"/>
                <w:rtl/>
              </w:rPr>
              <w:t>.</w:t>
            </w:r>
          </w:p>
        </w:tc>
      </w:tr>
    </w:tbl>
    <w:p w14:paraId="7F6961CA" w14:textId="1D2B5437" w:rsidR="002D1EE3" w:rsidRDefault="006F2BC9" w:rsidP="002D1EE3">
      <w:pPr>
        <w:pStyle w:val="HeadDivreiHesber"/>
        <w:rPr>
          <w:rtl/>
        </w:rPr>
      </w:pPr>
      <w:r w:rsidRPr="0027450A">
        <w:rPr>
          <w:rFonts w:hint="cs"/>
          <w:rtl/>
        </w:rPr>
        <w:t xml:space="preserve"> </w:t>
      </w:r>
      <w:r w:rsidR="002D1EE3" w:rsidRPr="0027450A">
        <w:rPr>
          <w:rFonts w:hint="cs"/>
          <w:rtl/>
        </w:rPr>
        <w:t>דברי הסבר</w:t>
      </w:r>
    </w:p>
    <w:p w14:paraId="7F6961CB" w14:textId="2C01134C" w:rsidR="00E13C27" w:rsidRDefault="00B70FFF" w:rsidP="004C70B6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תשלום אגרה לבית המשפט עשוי להכביד במידה רבה על מגיש התביעה. במקרה של אדם המקבל הבטחת הכנסה</w:t>
      </w:r>
      <w:r w:rsidR="004C70B6" w:rsidRPr="004C70B6">
        <w:rPr>
          <w:rFonts w:hint="cs"/>
          <w:rtl/>
        </w:rPr>
        <w:t xml:space="preserve"> </w:t>
      </w:r>
      <w:r w:rsidR="004C70B6">
        <w:rPr>
          <w:rFonts w:hint="cs"/>
          <w:rtl/>
        </w:rPr>
        <w:t>ניכר כי אין ביכולתו לשלם אגרה</w:t>
      </w:r>
      <w:r>
        <w:rPr>
          <w:rFonts w:hint="cs"/>
          <w:rtl/>
        </w:rPr>
        <w:t xml:space="preserve">, </w:t>
      </w:r>
      <w:r w:rsidR="004C70B6">
        <w:rPr>
          <w:rFonts w:hint="cs"/>
          <w:rtl/>
        </w:rPr>
        <w:t>מעצם כך</w:t>
      </w:r>
      <w:r w:rsidR="00277A5F">
        <w:rPr>
          <w:rFonts w:hint="cs"/>
          <w:rtl/>
        </w:rPr>
        <w:t xml:space="preserve"> ש</w:t>
      </w:r>
      <w:r>
        <w:rPr>
          <w:rFonts w:hint="cs"/>
          <w:rtl/>
        </w:rPr>
        <w:t>המדינה</w:t>
      </w:r>
      <w:r w:rsidR="00277A5F">
        <w:rPr>
          <w:rFonts w:hint="cs"/>
          <w:rtl/>
        </w:rPr>
        <w:t xml:space="preserve"> נדרשת</w:t>
      </w:r>
      <w:r>
        <w:rPr>
          <w:rFonts w:hint="cs"/>
          <w:rtl/>
        </w:rPr>
        <w:t xml:space="preserve"> לשלם לו הבטחת ה</w:t>
      </w:r>
      <w:r w:rsidR="00C632D6">
        <w:rPr>
          <w:rFonts w:hint="cs"/>
          <w:rtl/>
        </w:rPr>
        <w:t>כנסה על מנת שיוכל לקיים את עצמו,</w:t>
      </w:r>
      <w:r>
        <w:rPr>
          <w:rFonts w:hint="cs"/>
          <w:rtl/>
        </w:rPr>
        <w:t xml:space="preserve"> </w:t>
      </w:r>
      <w:r w:rsidR="00C632D6">
        <w:rPr>
          <w:rFonts w:hint="cs"/>
          <w:rtl/>
        </w:rPr>
        <w:t>ו</w:t>
      </w:r>
      <w:r w:rsidR="00CE7B62">
        <w:rPr>
          <w:rFonts w:hint="cs"/>
          <w:rtl/>
        </w:rPr>
        <w:t xml:space="preserve">בפרט כשמדובר בהגשת התביעה לבית הדין לענייני משפחה הדן במצבים רגישים עד מאוד. </w:t>
      </w:r>
    </w:p>
    <w:p w14:paraId="17424192" w14:textId="791AD5E0" w:rsidR="00CE7B62" w:rsidRDefault="00CE7B62" w:rsidP="004C70B6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יש לציין כי סעיף זה מופיע בתקנות בתי המשפט [אגרות], התשס"ז</w:t>
      </w:r>
      <w:r w:rsidR="009059B9">
        <w:rPr>
          <w:rFonts w:hint="eastAsia"/>
          <w:rtl/>
        </w:rPr>
        <w:t>–</w:t>
      </w:r>
      <w:r>
        <w:rPr>
          <w:rFonts w:hint="cs"/>
          <w:rtl/>
        </w:rPr>
        <w:t>2007, אך אינו חל על עניינים שנדונים בבתי המשפט לענייני משפחה. אין כל הגיון באפליה בין הפונים לבתי המשפט השונים ובין הפונים לבית המשפט לענייני משפחה, ועליהם לקבל את אותן הזכו</w:t>
      </w:r>
      <w:r w:rsidR="004C70B6">
        <w:rPr>
          <w:rFonts w:hint="cs"/>
          <w:rtl/>
        </w:rPr>
        <w:t>יות ב</w:t>
      </w:r>
      <w:r>
        <w:rPr>
          <w:rFonts w:hint="cs"/>
          <w:rtl/>
        </w:rPr>
        <w:t>יחס לתשלום האגרה.</w:t>
      </w:r>
    </w:p>
    <w:p w14:paraId="10901486" w14:textId="19BD3ECF" w:rsidR="007626A4" w:rsidRDefault="00493437" w:rsidP="004C70B6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גישה למערכת בית המשפט צריכה להיות שווה לכל, ועל אחת כמה וכמה גישה למערכת בתי המשפט לענייני משפחה. מן הראוי כי גישה זו לא תימנע מאדם בשל הכנסתו. </w:t>
      </w:r>
      <w:bookmarkStart w:id="7" w:name="_GoBack"/>
      <w:bookmarkEnd w:id="7"/>
    </w:p>
    <w:p w14:paraId="75B3296D" w14:textId="77777777" w:rsidR="004C70B6" w:rsidRPr="00D73212" w:rsidRDefault="004C70B6" w:rsidP="004C70B6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754941D7" w14:textId="77777777" w:rsidR="004C70B6" w:rsidRPr="00D73212" w:rsidRDefault="004C70B6" w:rsidP="004C70B6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166FD011" w14:textId="77777777" w:rsidR="004C70B6" w:rsidRPr="00D73212" w:rsidRDefault="004C70B6" w:rsidP="004C70B6">
      <w:pPr>
        <w:pStyle w:val="Hesber"/>
        <w:spacing w:line="240" w:lineRule="auto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5A8DD27F" w14:textId="77777777" w:rsidR="004C70B6" w:rsidRPr="00317312" w:rsidRDefault="004C70B6" w:rsidP="004C70B6">
      <w:pPr>
        <w:pStyle w:val="Hesber"/>
        <w:spacing w:line="240" w:lineRule="auto"/>
      </w:pPr>
      <w:r>
        <w:rPr>
          <w:rFonts w:hint="cs"/>
          <w:color w:val="auto"/>
          <w:rtl/>
          <w:lang w:eastAsia="en-US"/>
        </w:rPr>
        <w:t>י"ז בשבט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13.2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158BDB47" w14:textId="77777777" w:rsidR="004C70B6" w:rsidRDefault="004C70B6" w:rsidP="004C70B6">
      <w:pPr>
        <w:pStyle w:val="Hesber"/>
        <w:spacing w:line="240" w:lineRule="auto"/>
        <w:rPr>
          <w:rtl/>
        </w:rPr>
      </w:pPr>
    </w:p>
    <w:sectPr w:rsidR="004C70B6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4C70B6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566965F1" w14:textId="59F5CC08" w:rsidR="007626A4" w:rsidRDefault="007626A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התשנ"ח, עמ' 393.</w:t>
      </w:r>
    </w:p>
  </w:footnote>
  <w:footnote w:id="3">
    <w:p w14:paraId="11B6A435" w14:textId="7068F435" w:rsidR="009059B9" w:rsidRDefault="009059B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התשמ"א, עמ' 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778F4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B3A9F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77A5F"/>
    <w:rsid w:val="00292712"/>
    <w:rsid w:val="002A487D"/>
    <w:rsid w:val="002C2E29"/>
    <w:rsid w:val="002C3041"/>
    <w:rsid w:val="002D1EE3"/>
    <w:rsid w:val="002F1D80"/>
    <w:rsid w:val="003232A2"/>
    <w:rsid w:val="00325C14"/>
    <w:rsid w:val="00357D56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93437"/>
    <w:rsid w:val="004A06DC"/>
    <w:rsid w:val="004B24ED"/>
    <w:rsid w:val="004B6625"/>
    <w:rsid w:val="004C70B6"/>
    <w:rsid w:val="004D2D82"/>
    <w:rsid w:val="004D3876"/>
    <w:rsid w:val="004E1CAA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6C6C32"/>
    <w:rsid w:val="006F2BC9"/>
    <w:rsid w:val="007057E5"/>
    <w:rsid w:val="0070601E"/>
    <w:rsid w:val="00712C72"/>
    <w:rsid w:val="00735FE9"/>
    <w:rsid w:val="007626A4"/>
    <w:rsid w:val="00763CAA"/>
    <w:rsid w:val="00765F66"/>
    <w:rsid w:val="00785087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77086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9B9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0FFF"/>
    <w:rsid w:val="00B733A7"/>
    <w:rsid w:val="00B75C91"/>
    <w:rsid w:val="00B975AD"/>
    <w:rsid w:val="00BC45FB"/>
    <w:rsid w:val="00BF148D"/>
    <w:rsid w:val="00C23B1A"/>
    <w:rsid w:val="00C310EB"/>
    <w:rsid w:val="00C632D6"/>
    <w:rsid w:val="00C9176A"/>
    <w:rsid w:val="00CE7B62"/>
    <w:rsid w:val="00CF1AA2"/>
    <w:rsid w:val="00D17774"/>
    <w:rsid w:val="00D63620"/>
    <w:rsid w:val="00D730B3"/>
    <w:rsid w:val="00D8410D"/>
    <w:rsid w:val="00D867D7"/>
    <w:rsid w:val="00DB7060"/>
    <w:rsid w:val="00DE3153"/>
    <w:rsid w:val="00E06736"/>
    <w:rsid w:val="00E13C27"/>
    <w:rsid w:val="00E33BBD"/>
    <w:rsid w:val="00E374F2"/>
    <w:rsid w:val="00E4374C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  <w:rsid w:val="00F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F0C1-ABB0-4DB6-AA23-37995596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F6D2D-9C64-40D8-9788-ED9FBEBD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1214</Characters>
  <Application>Microsoft Office Word</Application>
  <DocSecurity>0</DocSecurity>
  <Lines>63</Lines>
  <Paragraphs>51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16</cp:revision>
  <cp:lastPrinted>2017-02-09T10:03:00Z</cp:lastPrinted>
  <dcterms:created xsi:type="dcterms:W3CDTF">2015-04-20T09:58:00Z</dcterms:created>
  <dcterms:modified xsi:type="dcterms:W3CDTF">2017-02-12T11:14:00Z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2012693</vt:r8>
  </property>
</Properties>
</file>