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2011577</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2" w:name="LGS_Initiators_List"/>
      <w:r>
        <w:rPr>
          <w:b/>
          <w:bCs/>
          <w:rtl/>
        </w:rPr>
        <w:t>יוזם:</w:t>
      </w:r>
      <w:r>
        <w:tab/>
      </w:r>
      <w:r>
        <w:rPr>
          <w:b/>
          <w:bCs/>
          <w:rtl/>
        </w:rPr>
        <w:t xml:space="preserve">      חבר הכנסת</w:t>
      </w:r>
      <w:bookmarkEnd w:id="2"/>
      <w:r w:rsidR="00B35784" w:rsidRPr="00F67051">
        <w:rPr>
          <w:b/>
          <w:bCs/>
        </w:rPr>
        <w:tab/>
      </w:r>
      <w:bookmarkStart w:id="3" w:name="LGS_PM_Names"/>
      <w:r>
        <w:rPr>
          <w:rFonts w:hint="cs"/>
          <w:b/>
          <w:bCs/>
          <w:rtl/>
        </w:rPr>
        <w:t>מיקי רוזנטל</w:t>
      </w:r>
      <w:bookmarkEnd w:id="3"/>
    </w:p>
    <w:p w14:paraId="7F6961AA" w14:textId="39F9D96B" w:rsidR="00E13C27" w:rsidRPr="00CF1AA2" w:rsidRDefault="007D585A" w:rsidP="0036422C">
      <w:pPr>
        <w:pStyle w:val="David"/>
        <w:spacing w:before="0" w:line="360" w:lineRule="auto"/>
        <w:ind w:left="3544"/>
        <w:rPr>
          <w:b/>
          <w:bCs/>
          <w:sz w:val="16"/>
          <w:szCs w:val="16"/>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3BA05138" w:rsidR="00E13C27" w:rsidRPr="00E06736" w:rsidRDefault="00904591" w:rsidP="00904591">
      <w:pPr>
        <w:pStyle w:val="David"/>
        <w:spacing w:before="0" w:line="240" w:lineRule="auto"/>
        <w:ind w:left="3544"/>
        <w:rPr>
          <w:rtl/>
        </w:rPr>
      </w:pPr>
      <w:r>
        <w:t xml:space="preserve">                                            </w:t>
      </w:r>
      <w:r w:rsidR="008F1308">
        <w:t xml:space="preserve"> </w:t>
      </w:r>
      <w:bookmarkStart w:id="6" w:name="Private_Number"/>
      <w:r>
        <w:rPr>
          <w:rFonts w:hint="cs"/>
          <w:rtl/>
        </w:rPr>
        <w:t>פ/3829/20</w:t>
      </w:r>
      <w:bookmarkEnd w:id="6"/>
    </w:p>
    <w:p w14:paraId="7F6961AD" w14:textId="169CBAD0" w:rsidR="00E13C27" w:rsidRPr="00F67051" w:rsidRDefault="00A443CF" w:rsidP="007679BC">
      <w:pPr>
        <w:pStyle w:val="HeadHatzaotHok"/>
        <w:rPr>
          <w:rtl/>
        </w:rPr>
      </w:pPr>
      <w:bookmarkStart w:id="7" w:name="LGS_Subject"/>
      <w:r>
        <w:rPr>
          <w:rFonts w:hint="cs"/>
          <w:rtl/>
        </w:rPr>
        <w:t>הצעת חוק הביטוח הלאומי (תיקון – ביטול חובת ההתייצבות בפני ועדות רפואיות), התשע"ז–</w:t>
      </w:r>
      <w:bookmarkEnd w:id="7"/>
      <w:r w:rsidR="007679BC">
        <w:rPr>
          <w:rFonts w:hint="cs"/>
          <w:rtl/>
        </w:rPr>
        <w:t>2017</w:t>
      </w:r>
    </w:p>
    <w:p w14:paraId="7F6961AE" w14:textId="77777777" w:rsidR="00E13C27" w:rsidRDefault="00E13C27" w:rsidP="0021633A">
      <w:pPr>
        <w:pStyle w:val="HeadDivreiHesber"/>
        <w:spacing w:before="0" w:after="0"/>
        <w:rPr>
          <w:rtl/>
        </w:rPr>
      </w:pPr>
    </w:p>
    <w:tbl>
      <w:tblPr>
        <w:bidiVisual/>
        <w:tblW w:w="9658" w:type="dxa"/>
        <w:tblLayout w:type="fixed"/>
        <w:tblCellMar>
          <w:top w:w="57" w:type="dxa"/>
          <w:left w:w="0" w:type="dxa"/>
          <w:bottom w:w="57" w:type="dxa"/>
          <w:right w:w="0" w:type="dxa"/>
        </w:tblCellMar>
        <w:tblLook w:val="01E0" w:firstRow="1" w:lastRow="1" w:firstColumn="1" w:lastColumn="1" w:noHBand="0" w:noVBand="0"/>
      </w:tblPr>
      <w:tblGrid>
        <w:gridCol w:w="1871"/>
        <w:gridCol w:w="18"/>
        <w:gridCol w:w="606"/>
        <w:gridCol w:w="18"/>
        <w:gridCol w:w="606"/>
        <w:gridCol w:w="18"/>
        <w:gridCol w:w="606"/>
        <w:gridCol w:w="624"/>
        <w:gridCol w:w="18"/>
        <w:gridCol w:w="606"/>
        <w:gridCol w:w="18"/>
        <w:gridCol w:w="4632"/>
        <w:gridCol w:w="17"/>
      </w:tblGrid>
      <w:tr w:rsidR="005A78E8" w14:paraId="536634DB" w14:textId="77777777" w:rsidTr="009F1533">
        <w:trPr>
          <w:cantSplit/>
        </w:trPr>
        <w:tc>
          <w:tcPr>
            <w:tcW w:w="1889" w:type="dxa"/>
            <w:gridSpan w:val="2"/>
          </w:tcPr>
          <w:p w14:paraId="7AF3F427" w14:textId="77777777" w:rsidR="005A78E8" w:rsidRDefault="005A78E8" w:rsidP="00C654C9">
            <w:pPr>
              <w:pStyle w:val="TableSideHeading"/>
              <w:keepLines w:val="0"/>
            </w:pPr>
            <w:r>
              <w:rPr>
                <w:rtl/>
              </w:rPr>
              <w:t>תיקון סעיף 118</w:t>
            </w:r>
          </w:p>
        </w:tc>
        <w:tc>
          <w:tcPr>
            <w:tcW w:w="624" w:type="dxa"/>
            <w:gridSpan w:val="2"/>
          </w:tcPr>
          <w:p w14:paraId="7BEA68F6" w14:textId="2D316091" w:rsidR="005A78E8" w:rsidRDefault="00486AF6" w:rsidP="00486AF6">
            <w:pPr>
              <w:pStyle w:val="TableText"/>
              <w:keepLines w:val="0"/>
              <w:tabs>
                <w:tab w:val="clear" w:pos="624"/>
              </w:tabs>
            </w:pPr>
            <w:r>
              <w:rPr>
                <w:rFonts w:hint="cs"/>
                <w:rtl/>
              </w:rPr>
              <w:t>1.</w:t>
            </w:r>
          </w:p>
        </w:tc>
        <w:tc>
          <w:tcPr>
            <w:tcW w:w="7145" w:type="dxa"/>
            <w:gridSpan w:val="9"/>
          </w:tcPr>
          <w:p w14:paraId="6AC99BAD" w14:textId="52414D31" w:rsidR="005A78E8" w:rsidRPr="00C34DE2" w:rsidRDefault="005A78E8" w:rsidP="001851E8">
            <w:pPr>
              <w:pStyle w:val="TableBlock"/>
              <w:rPr>
                <w:rtl/>
              </w:rPr>
            </w:pPr>
            <w:r>
              <w:rPr>
                <w:sz w:val="26"/>
                <w:rtl/>
              </w:rPr>
              <w:t>בחוק הביטוח הלאומי [נוסח משולב], התשנ"ה–1995</w:t>
            </w:r>
            <w:r>
              <w:rPr>
                <w:sz w:val="16"/>
                <w:szCs w:val="16"/>
                <w:rtl/>
              </w:rPr>
              <w:footnoteReference w:id="2"/>
            </w:r>
            <w:r>
              <w:rPr>
                <w:sz w:val="16"/>
                <w:szCs w:val="16"/>
                <w:rtl/>
              </w:rPr>
              <w:t xml:space="preserve"> </w:t>
            </w:r>
            <w:r>
              <w:rPr>
                <w:rFonts w:hint="cs"/>
                <w:sz w:val="26"/>
                <w:rtl/>
              </w:rPr>
              <w:t xml:space="preserve"> </w:t>
            </w:r>
            <w:r>
              <w:rPr>
                <w:sz w:val="26"/>
                <w:rtl/>
              </w:rPr>
              <w:t>(להלן – החוק</w:t>
            </w:r>
            <w:r w:rsidR="000C5AC5">
              <w:rPr>
                <w:rFonts w:hint="cs"/>
                <w:sz w:val="26"/>
                <w:rtl/>
              </w:rPr>
              <w:t xml:space="preserve"> העיקרי</w:t>
            </w:r>
            <w:r>
              <w:rPr>
                <w:sz w:val="26"/>
                <w:rtl/>
              </w:rPr>
              <w:t xml:space="preserve">),  בסעיף </w:t>
            </w:r>
            <w:r>
              <w:rPr>
                <w:rtl/>
              </w:rPr>
              <w:t>118</w:t>
            </w:r>
            <w:r w:rsidR="001851E8">
              <w:rPr>
                <w:rFonts w:hint="cs"/>
                <w:rtl/>
              </w:rPr>
              <w:t>, אחרי סעיף קטן (א1) יבוא:</w:t>
            </w:r>
          </w:p>
        </w:tc>
      </w:tr>
      <w:tr w:rsidR="00AB70F3" w14:paraId="391810A2" w14:textId="77777777" w:rsidTr="009F1533">
        <w:trPr>
          <w:cantSplit/>
          <w:trHeight w:val="60"/>
        </w:trPr>
        <w:tc>
          <w:tcPr>
            <w:tcW w:w="1889" w:type="dxa"/>
            <w:gridSpan w:val="2"/>
          </w:tcPr>
          <w:p w14:paraId="6EBFB854" w14:textId="77777777" w:rsidR="00AB70F3" w:rsidRDefault="00AB70F3">
            <w:pPr>
              <w:pStyle w:val="TableSideHeading"/>
            </w:pPr>
          </w:p>
        </w:tc>
        <w:tc>
          <w:tcPr>
            <w:tcW w:w="624" w:type="dxa"/>
            <w:gridSpan w:val="2"/>
          </w:tcPr>
          <w:p w14:paraId="4C0F57A4" w14:textId="77777777" w:rsidR="00AB70F3" w:rsidRDefault="00AB70F3" w:rsidP="00AB70F3">
            <w:pPr>
              <w:pStyle w:val="TableText"/>
            </w:pPr>
          </w:p>
        </w:tc>
        <w:tc>
          <w:tcPr>
            <w:tcW w:w="624" w:type="dxa"/>
            <w:gridSpan w:val="2"/>
          </w:tcPr>
          <w:p w14:paraId="03A2026D" w14:textId="77777777" w:rsidR="00AB70F3" w:rsidRDefault="00AB70F3">
            <w:pPr>
              <w:pStyle w:val="TableText"/>
            </w:pPr>
          </w:p>
        </w:tc>
        <w:tc>
          <w:tcPr>
            <w:tcW w:w="6521" w:type="dxa"/>
            <w:gridSpan w:val="7"/>
          </w:tcPr>
          <w:p w14:paraId="7943CCE3" w14:textId="54306E46" w:rsidR="00AB70F3" w:rsidRDefault="001851E8" w:rsidP="0062519C">
            <w:pPr>
              <w:pStyle w:val="TableBlock"/>
              <w:rPr>
                <w:rtl/>
              </w:rPr>
            </w:pPr>
            <w:r>
              <w:rPr>
                <w:rFonts w:hint="cs"/>
                <w:rtl/>
              </w:rPr>
              <w:t>"</w:t>
            </w:r>
            <w:r w:rsidR="00AB70F3">
              <w:rPr>
                <w:rFonts w:hint="cs"/>
                <w:rtl/>
              </w:rPr>
              <w:t>(א</w:t>
            </w:r>
            <w:r w:rsidR="00224A3B">
              <w:rPr>
                <w:rFonts w:hint="cs"/>
                <w:rtl/>
              </w:rPr>
              <w:t>2</w:t>
            </w:r>
            <w:r w:rsidR="00AB70F3">
              <w:rPr>
                <w:rFonts w:hint="cs"/>
                <w:rtl/>
              </w:rPr>
              <w:t>)</w:t>
            </w:r>
            <w:r w:rsidR="00AB70F3">
              <w:rPr>
                <w:rtl/>
              </w:rPr>
              <w:tab/>
            </w:r>
            <w:r w:rsidR="00AB70F3">
              <w:rPr>
                <w:rFonts w:hint="cs"/>
                <w:rtl/>
              </w:rPr>
              <w:t xml:space="preserve">המוסד ימציא  למבוטח הודעה בדבר הקביעה כאמור בסעיף קטן (א), בתוך ארבעה חודשים מהמועד שבו הגיש התובע </w:t>
            </w:r>
            <w:r w:rsidR="0062519C">
              <w:rPr>
                <w:rFonts w:hint="cs"/>
                <w:rtl/>
              </w:rPr>
              <w:t xml:space="preserve">למוסד </w:t>
            </w:r>
            <w:r w:rsidR="00AB70F3">
              <w:rPr>
                <w:rFonts w:hint="cs"/>
                <w:rtl/>
              </w:rPr>
              <w:t>את מסמכי התביעה.</w:t>
            </w:r>
            <w:r>
              <w:rPr>
                <w:rFonts w:hint="cs"/>
                <w:rtl/>
              </w:rPr>
              <w:t>"</w:t>
            </w:r>
          </w:p>
        </w:tc>
      </w:tr>
      <w:tr w:rsidR="00806CE8" w14:paraId="570930CD" w14:textId="77777777" w:rsidTr="009F1533">
        <w:trPr>
          <w:cantSplit/>
          <w:trHeight w:val="60"/>
        </w:trPr>
        <w:tc>
          <w:tcPr>
            <w:tcW w:w="1889" w:type="dxa"/>
            <w:gridSpan w:val="2"/>
          </w:tcPr>
          <w:p w14:paraId="651C7A0D" w14:textId="7B0F09DF" w:rsidR="00806CE8" w:rsidRDefault="00806CE8" w:rsidP="00C179CB">
            <w:pPr>
              <w:pStyle w:val="TableSideHeading"/>
            </w:pPr>
            <w:r>
              <w:rPr>
                <w:rFonts w:hint="cs"/>
                <w:rtl/>
              </w:rPr>
              <w:t>הוספת סעיף 12</w:t>
            </w:r>
            <w:r w:rsidR="00C179CB">
              <w:rPr>
                <w:rFonts w:hint="cs"/>
                <w:rtl/>
              </w:rPr>
              <w:t>2</w:t>
            </w:r>
            <w:r>
              <w:rPr>
                <w:rFonts w:hint="cs"/>
                <w:rtl/>
              </w:rPr>
              <w:t>א</w:t>
            </w:r>
          </w:p>
        </w:tc>
        <w:tc>
          <w:tcPr>
            <w:tcW w:w="624" w:type="dxa"/>
            <w:gridSpan w:val="2"/>
          </w:tcPr>
          <w:p w14:paraId="1083290E" w14:textId="310D3AE2" w:rsidR="00806CE8" w:rsidRDefault="00806CE8" w:rsidP="00806CE8">
            <w:pPr>
              <w:pStyle w:val="TableText"/>
            </w:pPr>
            <w:r>
              <w:rPr>
                <w:rFonts w:hint="cs"/>
                <w:rtl/>
              </w:rPr>
              <w:t>2.</w:t>
            </w:r>
          </w:p>
        </w:tc>
        <w:tc>
          <w:tcPr>
            <w:tcW w:w="7145" w:type="dxa"/>
            <w:gridSpan w:val="9"/>
          </w:tcPr>
          <w:p w14:paraId="0649C4A2" w14:textId="4F962640" w:rsidR="00806CE8" w:rsidRDefault="00806CE8" w:rsidP="001851E8">
            <w:pPr>
              <w:pStyle w:val="TableBlock"/>
              <w:rPr>
                <w:rtl/>
              </w:rPr>
            </w:pPr>
            <w:r>
              <w:rPr>
                <w:rFonts w:hint="cs"/>
                <w:rtl/>
              </w:rPr>
              <w:t xml:space="preserve">אחרי סעיף </w:t>
            </w:r>
            <w:r w:rsidR="001851E8">
              <w:rPr>
                <w:rFonts w:hint="cs"/>
                <w:rtl/>
              </w:rPr>
              <w:t>122</w:t>
            </w:r>
            <w:r>
              <w:rPr>
                <w:rFonts w:hint="cs"/>
                <w:rtl/>
              </w:rPr>
              <w:t xml:space="preserve"> </w:t>
            </w:r>
            <w:r w:rsidR="002F6870">
              <w:rPr>
                <w:rFonts w:hint="cs"/>
                <w:rtl/>
              </w:rPr>
              <w:t xml:space="preserve">לחוק העיקרי </w:t>
            </w:r>
            <w:r>
              <w:rPr>
                <w:rFonts w:hint="cs"/>
                <w:rtl/>
              </w:rPr>
              <w:t>יבוא:</w:t>
            </w:r>
          </w:p>
        </w:tc>
      </w:tr>
      <w:tr w:rsidR="0062519C" w14:paraId="0F778F27" w14:textId="77777777" w:rsidTr="009F1533">
        <w:trPr>
          <w:cantSplit/>
          <w:trHeight w:val="60"/>
        </w:trPr>
        <w:tc>
          <w:tcPr>
            <w:tcW w:w="1889" w:type="dxa"/>
            <w:gridSpan w:val="2"/>
          </w:tcPr>
          <w:p w14:paraId="67D8AD80" w14:textId="66FDABBF" w:rsidR="0062519C" w:rsidRDefault="0062519C" w:rsidP="0062519C">
            <w:pPr>
              <w:pStyle w:val="TableSideHeading"/>
              <w:keepLines w:val="0"/>
              <w:rPr>
                <w:rtl/>
              </w:rPr>
            </w:pPr>
          </w:p>
        </w:tc>
        <w:tc>
          <w:tcPr>
            <w:tcW w:w="624" w:type="dxa"/>
            <w:gridSpan w:val="2"/>
          </w:tcPr>
          <w:p w14:paraId="7E850500" w14:textId="77777777" w:rsidR="0062519C" w:rsidRDefault="0062519C" w:rsidP="0062519C">
            <w:pPr>
              <w:pStyle w:val="TableText"/>
              <w:keepLines w:val="0"/>
              <w:rPr>
                <w:rtl/>
              </w:rPr>
            </w:pPr>
          </w:p>
        </w:tc>
        <w:tc>
          <w:tcPr>
            <w:tcW w:w="1872" w:type="dxa"/>
            <w:gridSpan w:val="5"/>
          </w:tcPr>
          <w:p w14:paraId="501DDAB8" w14:textId="7E6BCAFA" w:rsidR="0062519C" w:rsidRDefault="0062519C" w:rsidP="0062519C">
            <w:pPr>
              <w:pStyle w:val="TableInnerSideHeading"/>
              <w:rPr>
                <w:rtl/>
              </w:rPr>
            </w:pPr>
            <w:r>
              <w:rPr>
                <w:rFonts w:hint="cs"/>
                <w:rtl/>
              </w:rPr>
              <w:t>"אי חובת התייצבות בפני רופא, ועדה רפואית וועדה רפואית לעררים</w:t>
            </w:r>
          </w:p>
        </w:tc>
        <w:tc>
          <w:tcPr>
            <w:tcW w:w="624" w:type="dxa"/>
            <w:gridSpan w:val="2"/>
          </w:tcPr>
          <w:p w14:paraId="245C994A" w14:textId="0856D594" w:rsidR="0062519C" w:rsidRDefault="0062519C" w:rsidP="0062519C">
            <w:pPr>
              <w:pStyle w:val="TableText"/>
              <w:rPr>
                <w:rtl/>
              </w:rPr>
            </w:pPr>
            <w:r>
              <w:rPr>
                <w:rFonts w:hint="cs"/>
                <w:rtl/>
              </w:rPr>
              <w:t>122א.</w:t>
            </w:r>
          </w:p>
        </w:tc>
        <w:tc>
          <w:tcPr>
            <w:tcW w:w="4649" w:type="dxa"/>
            <w:gridSpan w:val="2"/>
          </w:tcPr>
          <w:p w14:paraId="0F717A90" w14:textId="77F90D4E" w:rsidR="0062519C" w:rsidRDefault="0062519C" w:rsidP="00C179CB">
            <w:pPr>
              <w:pStyle w:val="TableBlock"/>
              <w:rPr>
                <w:rtl/>
              </w:rPr>
            </w:pPr>
            <w:r>
              <w:rPr>
                <w:rFonts w:hint="cs"/>
                <w:rtl/>
              </w:rPr>
              <w:t>(א)</w:t>
            </w:r>
            <w:r>
              <w:rPr>
                <w:rtl/>
              </w:rPr>
              <w:tab/>
            </w:r>
            <w:r>
              <w:rPr>
                <w:rFonts w:hint="cs"/>
                <w:rtl/>
              </w:rPr>
              <w:t xml:space="preserve">מבוטח לא יידרש להתייצב </w:t>
            </w:r>
            <w:r w:rsidR="00C179CB">
              <w:rPr>
                <w:rFonts w:hint="cs"/>
                <w:rtl/>
              </w:rPr>
              <w:t>ב</w:t>
            </w:r>
            <w:r>
              <w:rPr>
                <w:rFonts w:hint="cs"/>
                <w:rtl/>
              </w:rPr>
              <w:t>פני רופא, ועדה רפואית או ועדה רפואית לעררים לשם קביעת דרגת נכותו לפי סעיף 118</w:t>
            </w:r>
            <w:r w:rsidR="00C179CB">
              <w:rPr>
                <w:rFonts w:hint="cs"/>
                <w:rtl/>
              </w:rPr>
              <w:t>,</w:t>
            </w:r>
            <w:r>
              <w:rPr>
                <w:rFonts w:hint="cs"/>
                <w:rtl/>
              </w:rPr>
              <w:t xml:space="preserve"> לרבות קביעה מחדש של דרגת נכותו, או כדי לערור על החלטת ועדה רפואית לפי סעיף 122, אלא ב</w:t>
            </w:r>
            <w:r w:rsidRPr="00963396">
              <w:rPr>
                <w:rFonts w:hint="cs"/>
                <w:rtl/>
              </w:rPr>
              <w:t xml:space="preserve">מקרים מיוחדים </w:t>
            </w:r>
            <w:r>
              <w:rPr>
                <w:rFonts w:hint="cs"/>
                <w:rtl/>
              </w:rPr>
              <w:t>שקבע</w:t>
            </w:r>
            <w:r w:rsidRPr="00963396">
              <w:rPr>
                <w:rFonts w:hint="cs"/>
                <w:rtl/>
              </w:rPr>
              <w:t xml:space="preserve"> השר, באישור ועדת העבודה</w:t>
            </w:r>
            <w:r>
              <w:rPr>
                <w:rFonts w:hint="cs"/>
                <w:rtl/>
              </w:rPr>
              <w:t xml:space="preserve"> והר</w:t>
            </w:r>
            <w:r w:rsidRPr="00963396">
              <w:rPr>
                <w:rFonts w:hint="cs"/>
                <w:rtl/>
              </w:rPr>
              <w:t>ווחה</w:t>
            </w:r>
            <w:r>
              <w:rPr>
                <w:rFonts w:hint="cs"/>
                <w:rtl/>
              </w:rPr>
              <w:t>.</w:t>
            </w:r>
            <w:r>
              <w:rPr>
                <w:rtl/>
              </w:rPr>
              <w:t xml:space="preserve"> </w:t>
            </w:r>
          </w:p>
        </w:tc>
      </w:tr>
      <w:tr w:rsidR="0062519C" w14:paraId="06DB053F" w14:textId="77777777" w:rsidTr="009F1533">
        <w:trPr>
          <w:cantSplit/>
          <w:trHeight w:val="60"/>
        </w:trPr>
        <w:tc>
          <w:tcPr>
            <w:tcW w:w="1889" w:type="dxa"/>
            <w:gridSpan w:val="2"/>
          </w:tcPr>
          <w:p w14:paraId="27A58851" w14:textId="02DFA131" w:rsidR="0062519C" w:rsidRDefault="0062519C" w:rsidP="0062519C">
            <w:pPr>
              <w:pStyle w:val="TableSideHeading"/>
              <w:keepLines w:val="0"/>
            </w:pPr>
          </w:p>
        </w:tc>
        <w:tc>
          <w:tcPr>
            <w:tcW w:w="624" w:type="dxa"/>
            <w:gridSpan w:val="2"/>
          </w:tcPr>
          <w:p w14:paraId="146B5096" w14:textId="6F79C3BD" w:rsidR="0062519C" w:rsidRDefault="0062519C" w:rsidP="0062519C">
            <w:pPr>
              <w:pStyle w:val="TableText"/>
              <w:keepLines w:val="0"/>
            </w:pPr>
          </w:p>
        </w:tc>
        <w:tc>
          <w:tcPr>
            <w:tcW w:w="1872" w:type="dxa"/>
            <w:gridSpan w:val="5"/>
          </w:tcPr>
          <w:p w14:paraId="73FF5711" w14:textId="1CA3DB29" w:rsidR="0062519C" w:rsidRDefault="0062519C" w:rsidP="0062519C">
            <w:pPr>
              <w:pStyle w:val="TableInnerSideHeading"/>
            </w:pPr>
          </w:p>
        </w:tc>
        <w:tc>
          <w:tcPr>
            <w:tcW w:w="624" w:type="dxa"/>
            <w:gridSpan w:val="2"/>
          </w:tcPr>
          <w:p w14:paraId="25BC1972" w14:textId="7F7B9015" w:rsidR="0062519C" w:rsidRPr="00806CE8" w:rsidRDefault="0062519C" w:rsidP="0062519C">
            <w:pPr>
              <w:pStyle w:val="TableText"/>
            </w:pPr>
          </w:p>
        </w:tc>
        <w:tc>
          <w:tcPr>
            <w:tcW w:w="4649" w:type="dxa"/>
            <w:gridSpan w:val="2"/>
          </w:tcPr>
          <w:p w14:paraId="3C28DE0A" w14:textId="5ED4021B" w:rsidR="0062519C" w:rsidRDefault="009F06DE" w:rsidP="00C179CB">
            <w:pPr>
              <w:pStyle w:val="TableBlock"/>
            </w:pPr>
            <w:r>
              <w:rPr>
                <w:rFonts w:hint="cs"/>
                <w:rtl/>
              </w:rPr>
              <w:t>(ב)</w:t>
            </w:r>
            <w:r>
              <w:rPr>
                <w:rtl/>
              </w:rPr>
              <w:tab/>
            </w:r>
            <w:r>
              <w:rPr>
                <w:rFonts w:hint="cs"/>
                <w:rtl/>
              </w:rPr>
              <w:t xml:space="preserve">מבוטח שלא נדרש להתייצב </w:t>
            </w:r>
            <w:r w:rsidR="00C179CB">
              <w:rPr>
                <w:rFonts w:hint="cs"/>
                <w:rtl/>
              </w:rPr>
              <w:t>ב</w:t>
            </w:r>
            <w:r>
              <w:rPr>
                <w:rFonts w:hint="cs"/>
                <w:rtl/>
              </w:rPr>
              <w:t>פני רופא, ועדה רפואית או ועדה רפואית לעררים, לפי סעיף קטן (א), יעביר למוסד את כל המסמכים הנדרשים לצורך בירור תביעתו; השר יקבע את רשימת המסמכים הנדרשים לפי סעיף קטן זה.</w:t>
            </w:r>
          </w:p>
        </w:tc>
      </w:tr>
      <w:tr w:rsidR="0062519C" w14:paraId="6BC36223" w14:textId="77777777" w:rsidTr="009F1533">
        <w:trPr>
          <w:cantSplit/>
          <w:trHeight w:val="60"/>
        </w:trPr>
        <w:tc>
          <w:tcPr>
            <w:tcW w:w="1889" w:type="dxa"/>
            <w:gridSpan w:val="2"/>
          </w:tcPr>
          <w:p w14:paraId="10275339" w14:textId="2342CDB5" w:rsidR="0062519C" w:rsidRDefault="0062519C" w:rsidP="0062519C">
            <w:pPr>
              <w:pStyle w:val="TableSideHeading"/>
              <w:keepLines w:val="0"/>
              <w:rPr>
                <w:rtl/>
              </w:rPr>
            </w:pPr>
          </w:p>
        </w:tc>
        <w:tc>
          <w:tcPr>
            <w:tcW w:w="624" w:type="dxa"/>
            <w:gridSpan w:val="2"/>
          </w:tcPr>
          <w:p w14:paraId="4FB07571" w14:textId="0A2DA239" w:rsidR="0062519C" w:rsidRDefault="0062519C" w:rsidP="0062519C">
            <w:pPr>
              <w:pStyle w:val="TableText"/>
              <w:keepLines w:val="0"/>
            </w:pPr>
          </w:p>
        </w:tc>
        <w:tc>
          <w:tcPr>
            <w:tcW w:w="1872" w:type="dxa"/>
            <w:gridSpan w:val="5"/>
          </w:tcPr>
          <w:p w14:paraId="3F9651AF" w14:textId="51F1370B" w:rsidR="0062519C" w:rsidRDefault="0062519C" w:rsidP="0062519C">
            <w:pPr>
              <w:pStyle w:val="TableInnerSideHeading"/>
              <w:rPr>
                <w:rtl/>
              </w:rPr>
            </w:pPr>
          </w:p>
        </w:tc>
        <w:tc>
          <w:tcPr>
            <w:tcW w:w="624" w:type="dxa"/>
            <w:gridSpan w:val="2"/>
          </w:tcPr>
          <w:p w14:paraId="04C8740E" w14:textId="7E671340" w:rsidR="0062519C" w:rsidRDefault="0062519C" w:rsidP="0062519C">
            <w:pPr>
              <w:pStyle w:val="TableText"/>
              <w:rPr>
                <w:rtl/>
              </w:rPr>
            </w:pPr>
          </w:p>
        </w:tc>
        <w:tc>
          <w:tcPr>
            <w:tcW w:w="4649" w:type="dxa"/>
            <w:gridSpan w:val="2"/>
          </w:tcPr>
          <w:p w14:paraId="1918E985" w14:textId="0BE4C86E" w:rsidR="0062519C" w:rsidRDefault="0062519C" w:rsidP="00C179CB">
            <w:pPr>
              <w:pStyle w:val="TableBlock"/>
              <w:rPr>
                <w:rtl/>
              </w:rPr>
            </w:pPr>
            <w:r>
              <w:rPr>
                <w:rFonts w:hint="cs"/>
                <w:rtl/>
              </w:rPr>
              <w:t>(</w:t>
            </w:r>
            <w:r w:rsidR="009F06DE">
              <w:rPr>
                <w:rFonts w:hint="cs"/>
                <w:rtl/>
              </w:rPr>
              <w:t>ג</w:t>
            </w:r>
            <w:r>
              <w:rPr>
                <w:rFonts w:hint="cs"/>
                <w:rtl/>
              </w:rPr>
              <w:t>)</w:t>
            </w:r>
            <w:r>
              <w:rPr>
                <w:rtl/>
              </w:rPr>
              <w:tab/>
            </w:r>
            <w:r>
              <w:rPr>
                <w:rFonts w:hint="cs"/>
                <w:rtl/>
              </w:rPr>
              <w:t xml:space="preserve">מבוטח יוכל להתייצב </w:t>
            </w:r>
            <w:r w:rsidR="00C179CB">
              <w:rPr>
                <w:rFonts w:hint="cs"/>
                <w:rtl/>
              </w:rPr>
              <w:t>ב</w:t>
            </w:r>
            <w:r>
              <w:rPr>
                <w:rFonts w:hint="cs"/>
                <w:rtl/>
              </w:rPr>
              <w:t>פני רופא, ועדה רפואית, או ועדה רפואית לעררים גם אם לא נדרש לעשות כן לפי סעיף קטן (א), ובלבד שציין במסמכי התביעה או בהודעה בכתב שמסר למוסד שברצונו להתייצב כאמור."</w:t>
            </w:r>
          </w:p>
        </w:tc>
      </w:tr>
      <w:tr w:rsidR="0062519C" w14:paraId="15B12668" w14:textId="77777777" w:rsidTr="009F1533">
        <w:trPr>
          <w:cantSplit/>
          <w:trHeight w:val="60"/>
        </w:trPr>
        <w:tc>
          <w:tcPr>
            <w:tcW w:w="1889" w:type="dxa"/>
            <w:gridSpan w:val="2"/>
          </w:tcPr>
          <w:p w14:paraId="184298BB" w14:textId="70F7D70A" w:rsidR="0062519C" w:rsidRPr="006F03E3" w:rsidRDefault="0062519C" w:rsidP="0062519C">
            <w:pPr>
              <w:pStyle w:val="TableSideHeading"/>
            </w:pPr>
            <w:r w:rsidRPr="006F03E3">
              <w:rPr>
                <w:rFonts w:hint="eastAsia"/>
                <w:rtl/>
              </w:rPr>
              <w:t>תיקון</w:t>
            </w:r>
            <w:r w:rsidRPr="006F03E3">
              <w:rPr>
                <w:rtl/>
              </w:rPr>
              <w:t xml:space="preserve"> </w:t>
            </w:r>
            <w:r w:rsidRPr="006F03E3">
              <w:rPr>
                <w:rFonts w:hint="eastAsia"/>
                <w:rtl/>
              </w:rPr>
              <w:t>סעיף</w:t>
            </w:r>
            <w:r w:rsidRPr="006F03E3">
              <w:rPr>
                <w:rtl/>
              </w:rPr>
              <w:t xml:space="preserve"> 214</w:t>
            </w:r>
          </w:p>
        </w:tc>
        <w:tc>
          <w:tcPr>
            <w:tcW w:w="624" w:type="dxa"/>
            <w:gridSpan w:val="2"/>
          </w:tcPr>
          <w:p w14:paraId="4DE9EEF0" w14:textId="52161D1E" w:rsidR="0062519C" w:rsidRPr="006F03E3" w:rsidRDefault="0062519C" w:rsidP="0062519C">
            <w:pPr>
              <w:pStyle w:val="TableText"/>
            </w:pPr>
            <w:r w:rsidRPr="006F03E3">
              <w:rPr>
                <w:rtl/>
              </w:rPr>
              <w:t>3.</w:t>
            </w:r>
          </w:p>
        </w:tc>
        <w:tc>
          <w:tcPr>
            <w:tcW w:w="7145" w:type="dxa"/>
            <w:gridSpan w:val="9"/>
          </w:tcPr>
          <w:p w14:paraId="3568EF4D" w14:textId="26CD3FAD" w:rsidR="0062519C" w:rsidRPr="006F03E3" w:rsidRDefault="0062519C" w:rsidP="000D74FD">
            <w:pPr>
              <w:pStyle w:val="TableBlock"/>
            </w:pPr>
            <w:r w:rsidRPr="006F03E3">
              <w:rPr>
                <w:rFonts w:hint="eastAsia"/>
                <w:rtl/>
              </w:rPr>
              <w:t>בסעיף</w:t>
            </w:r>
            <w:r w:rsidRPr="006F03E3">
              <w:rPr>
                <w:rtl/>
              </w:rPr>
              <w:t xml:space="preserve"> 214 </w:t>
            </w:r>
            <w:r w:rsidRPr="006F03E3">
              <w:rPr>
                <w:rFonts w:hint="eastAsia"/>
                <w:rtl/>
              </w:rPr>
              <w:t>לחוק</w:t>
            </w:r>
            <w:r w:rsidRPr="006F03E3">
              <w:rPr>
                <w:rtl/>
              </w:rPr>
              <w:t xml:space="preserve"> </w:t>
            </w:r>
            <w:r w:rsidRPr="006F03E3">
              <w:rPr>
                <w:rFonts w:hint="eastAsia"/>
                <w:rtl/>
              </w:rPr>
              <w:t>העיקרי</w:t>
            </w:r>
            <w:r w:rsidRPr="006F03E3">
              <w:rPr>
                <w:rtl/>
              </w:rPr>
              <w:t xml:space="preserve">, </w:t>
            </w:r>
            <w:r w:rsidRPr="006F03E3">
              <w:rPr>
                <w:rFonts w:hint="eastAsia"/>
                <w:rtl/>
              </w:rPr>
              <w:t>סעיף</w:t>
            </w:r>
            <w:r w:rsidRPr="006F03E3">
              <w:rPr>
                <w:rtl/>
              </w:rPr>
              <w:t xml:space="preserve"> </w:t>
            </w:r>
            <w:r w:rsidRPr="006F03E3">
              <w:rPr>
                <w:rFonts w:hint="eastAsia"/>
                <w:rtl/>
              </w:rPr>
              <w:t>קטן</w:t>
            </w:r>
            <w:r w:rsidRPr="006F03E3">
              <w:rPr>
                <w:rtl/>
              </w:rPr>
              <w:t xml:space="preserve"> (ב) </w:t>
            </w:r>
            <w:r w:rsidRPr="006F03E3">
              <w:rPr>
                <w:rFonts w:hint="eastAsia"/>
                <w:rtl/>
              </w:rPr>
              <w:t>–</w:t>
            </w:r>
            <w:r w:rsidRPr="006F03E3">
              <w:rPr>
                <w:rtl/>
              </w:rPr>
              <w:t xml:space="preserve"> </w:t>
            </w:r>
            <w:r w:rsidR="000D74FD">
              <w:rPr>
                <w:rFonts w:hint="cs"/>
                <w:rtl/>
              </w:rPr>
              <w:t>בטל</w:t>
            </w:r>
            <w:r w:rsidRPr="006F03E3">
              <w:rPr>
                <w:rtl/>
              </w:rPr>
              <w:t xml:space="preserve">. </w:t>
            </w:r>
          </w:p>
        </w:tc>
      </w:tr>
      <w:tr w:rsidR="0062519C" w14:paraId="459582AA" w14:textId="77777777" w:rsidTr="009F1533">
        <w:trPr>
          <w:cantSplit/>
          <w:trHeight w:val="60"/>
        </w:trPr>
        <w:tc>
          <w:tcPr>
            <w:tcW w:w="1889" w:type="dxa"/>
            <w:gridSpan w:val="2"/>
          </w:tcPr>
          <w:p w14:paraId="684DBFAB" w14:textId="5AE59507" w:rsidR="0062519C" w:rsidRDefault="0062519C" w:rsidP="00A6291E">
            <w:pPr>
              <w:pStyle w:val="TableSideHeading"/>
            </w:pPr>
            <w:r>
              <w:rPr>
                <w:rFonts w:hint="cs"/>
                <w:rtl/>
              </w:rPr>
              <w:lastRenderedPageBreak/>
              <w:t>הוספת סעי</w:t>
            </w:r>
            <w:r w:rsidR="00A6291E">
              <w:rPr>
                <w:rFonts w:hint="cs"/>
                <w:rtl/>
              </w:rPr>
              <w:t>פים</w:t>
            </w:r>
            <w:r>
              <w:rPr>
                <w:rFonts w:hint="cs"/>
                <w:rtl/>
              </w:rPr>
              <w:t xml:space="preserve"> 214א</w:t>
            </w:r>
            <w:r w:rsidR="00A6291E">
              <w:rPr>
                <w:rFonts w:hint="cs"/>
                <w:rtl/>
              </w:rPr>
              <w:t xml:space="preserve"> ו-214ב</w:t>
            </w:r>
          </w:p>
        </w:tc>
        <w:tc>
          <w:tcPr>
            <w:tcW w:w="624" w:type="dxa"/>
            <w:gridSpan w:val="2"/>
          </w:tcPr>
          <w:p w14:paraId="09BF0187" w14:textId="77C183BB" w:rsidR="0062519C" w:rsidRDefault="0062519C" w:rsidP="0062519C">
            <w:pPr>
              <w:pStyle w:val="TableText"/>
            </w:pPr>
            <w:r>
              <w:rPr>
                <w:rFonts w:hint="cs"/>
                <w:rtl/>
              </w:rPr>
              <w:t>4.</w:t>
            </w:r>
          </w:p>
        </w:tc>
        <w:tc>
          <w:tcPr>
            <w:tcW w:w="7145" w:type="dxa"/>
            <w:gridSpan w:val="9"/>
          </w:tcPr>
          <w:p w14:paraId="7FAA5BED" w14:textId="06A469E8" w:rsidR="0062519C" w:rsidRPr="00C34DE2" w:rsidRDefault="0062519C" w:rsidP="0062519C">
            <w:pPr>
              <w:pStyle w:val="TableBlock"/>
            </w:pPr>
            <w:r>
              <w:rPr>
                <w:rFonts w:hint="cs"/>
                <w:rtl/>
              </w:rPr>
              <w:t>אחרי סעיף 214 לחוק העיקרי יבוא:</w:t>
            </w:r>
          </w:p>
        </w:tc>
      </w:tr>
      <w:tr w:rsidR="0062519C" w14:paraId="2F35221C" w14:textId="77777777" w:rsidTr="009F1533">
        <w:trPr>
          <w:cantSplit/>
          <w:trHeight w:val="60"/>
        </w:trPr>
        <w:tc>
          <w:tcPr>
            <w:tcW w:w="1889" w:type="dxa"/>
            <w:gridSpan w:val="2"/>
          </w:tcPr>
          <w:p w14:paraId="0AB8A942" w14:textId="4E8C844F" w:rsidR="0062519C" w:rsidRDefault="0062519C" w:rsidP="0062519C">
            <w:pPr>
              <w:pStyle w:val="TableSideHeading"/>
              <w:keepLines w:val="0"/>
            </w:pPr>
          </w:p>
        </w:tc>
        <w:tc>
          <w:tcPr>
            <w:tcW w:w="624" w:type="dxa"/>
            <w:gridSpan w:val="2"/>
          </w:tcPr>
          <w:p w14:paraId="69420657" w14:textId="3399F7B2" w:rsidR="0062519C" w:rsidRDefault="0062519C" w:rsidP="0062519C">
            <w:pPr>
              <w:pStyle w:val="TableText"/>
              <w:keepLines w:val="0"/>
            </w:pPr>
          </w:p>
        </w:tc>
        <w:tc>
          <w:tcPr>
            <w:tcW w:w="1872" w:type="dxa"/>
            <w:gridSpan w:val="5"/>
          </w:tcPr>
          <w:p w14:paraId="24FA2EBE" w14:textId="50C3850F" w:rsidR="0062519C" w:rsidRPr="002F6870" w:rsidRDefault="0062519C" w:rsidP="00C10B83">
            <w:pPr>
              <w:pStyle w:val="TableInnerSideHeading"/>
            </w:pPr>
            <w:r>
              <w:rPr>
                <w:rFonts w:hint="cs"/>
                <w:rtl/>
              </w:rPr>
              <w:t xml:space="preserve">"אי חובת התייצבות בפני </w:t>
            </w:r>
            <w:r w:rsidR="00C10B83">
              <w:rPr>
                <w:rFonts w:hint="cs"/>
                <w:rtl/>
              </w:rPr>
              <w:t>רופא, ועדה או פקיד תביעות</w:t>
            </w:r>
          </w:p>
        </w:tc>
        <w:tc>
          <w:tcPr>
            <w:tcW w:w="624" w:type="dxa"/>
            <w:gridSpan w:val="2"/>
          </w:tcPr>
          <w:p w14:paraId="2CE00185" w14:textId="12A5B0B2" w:rsidR="0062519C" w:rsidRDefault="0062519C" w:rsidP="0062519C">
            <w:pPr>
              <w:pStyle w:val="TableText"/>
            </w:pPr>
            <w:r>
              <w:rPr>
                <w:rFonts w:hint="cs"/>
                <w:rtl/>
              </w:rPr>
              <w:t>214א.</w:t>
            </w:r>
          </w:p>
        </w:tc>
        <w:tc>
          <w:tcPr>
            <w:tcW w:w="4649" w:type="dxa"/>
            <w:gridSpan w:val="2"/>
          </w:tcPr>
          <w:p w14:paraId="28A724A2" w14:textId="7FD6CDFD" w:rsidR="0062519C" w:rsidRDefault="0062519C" w:rsidP="00943415">
            <w:pPr>
              <w:pStyle w:val="TableBlock"/>
            </w:pPr>
            <w:r>
              <w:rPr>
                <w:rFonts w:hint="cs"/>
                <w:rtl/>
              </w:rPr>
              <w:t>(א)</w:t>
            </w:r>
            <w:r>
              <w:rPr>
                <w:rtl/>
              </w:rPr>
              <w:tab/>
            </w:r>
            <w:r>
              <w:rPr>
                <w:rFonts w:hint="cs"/>
                <w:rtl/>
              </w:rPr>
              <w:t xml:space="preserve">מבוטח לא יידרש להתייצב </w:t>
            </w:r>
            <w:r w:rsidR="00943415">
              <w:rPr>
                <w:rFonts w:hint="cs"/>
                <w:rtl/>
              </w:rPr>
              <w:t>ב</w:t>
            </w:r>
            <w:r>
              <w:rPr>
                <w:rFonts w:hint="cs"/>
                <w:rtl/>
              </w:rPr>
              <w:t>פני רופא, ועדה רפואית, פקיד תביעות, ועדה לעררים, ועדה רפואית לעררים או</w:t>
            </w:r>
            <w:r>
              <w:rPr>
                <w:rtl/>
              </w:rPr>
              <w:t xml:space="preserve"> </w:t>
            </w:r>
            <w:r w:rsidRPr="009D02CE">
              <w:rPr>
                <w:rtl/>
              </w:rPr>
              <w:t>ועדה לעררים לשירותים מיוחדים</w:t>
            </w:r>
            <w:r>
              <w:rPr>
                <w:rFonts w:hint="cs"/>
                <w:rtl/>
              </w:rPr>
              <w:t>, לשם קביעת אחוזי נכותו לפי סעיף 208, קביעת דרגת אי כושרו להשתכר לפי סעיף 209, קביעת דרגה זמנית של אי כושר להשתכר לפי סעיף 210, ערר על החלטת פקיד תביעות או רופא מוסמך לפי סעיף 211 ובדיקה מחדש של אי כושרו להשתכר לפי סעיף 214, אלא ב</w:t>
            </w:r>
            <w:r w:rsidRPr="00963396">
              <w:rPr>
                <w:rFonts w:hint="cs"/>
                <w:rtl/>
              </w:rPr>
              <w:t xml:space="preserve">מקרים מיוחדים </w:t>
            </w:r>
            <w:r>
              <w:rPr>
                <w:rFonts w:hint="cs"/>
                <w:rtl/>
              </w:rPr>
              <w:t>שקבע</w:t>
            </w:r>
            <w:r w:rsidRPr="00963396">
              <w:rPr>
                <w:rFonts w:hint="cs"/>
                <w:rtl/>
              </w:rPr>
              <w:t xml:space="preserve"> השר, באישור ועדת העבודה</w:t>
            </w:r>
            <w:r>
              <w:rPr>
                <w:rFonts w:hint="cs"/>
                <w:rtl/>
              </w:rPr>
              <w:t xml:space="preserve"> והר</w:t>
            </w:r>
            <w:r w:rsidRPr="00963396">
              <w:rPr>
                <w:rFonts w:hint="cs"/>
                <w:rtl/>
              </w:rPr>
              <w:t>ווחה</w:t>
            </w:r>
            <w:r>
              <w:rPr>
                <w:rFonts w:hint="cs"/>
                <w:rtl/>
              </w:rPr>
              <w:t>.</w:t>
            </w:r>
            <w:r>
              <w:rPr>
                <w:rtl/>
              </w:rPr>
              <w:t xml:space="preserve"> </w:t>
            </w:r>
          </w:p>
        </w:tc>
      </w:tr>
      <w:tr w:rsidR="00A6291E" w14:paraId="2C5208E0" w14:textId="77777777">
        <w:trPr>
          <w:gridAfter w:val="1"/>
          <w:wAfter w:w="17" w:type="dxa"/>
          <w:cantSplit/>
          <w:trHeight w:val="60"/>
        </w:trPr>
        <w:tc>
          <w:tcPr>
            <w:tcW w:w="1871" w:type="dxa"/>
          </w:tcPr>
          <w:p w14:paraId="11221FA8" w14:textId="2D440EA5" w:rsidR="00A6291E" w:rsidRDefault="00A6291E">
            <w:pPr>
              <w:pStyle w:val="TableSideHeading"/>
            </w:pPr>
          </w:p>
        </w:tc>
        <w:tc>
          <w:tcPr>
            <w:tcW w:w="624" w:type="dxa"/>
            <w:gridSpan w:val="2"/>
          </w:tcPr>
          <w:p w14:paraId="6525375C" w14:textId="77777777" w:rsidR="00A6291E" w:rsidRDefault="00A6291E">
            <w:pPr>
              <w:pStyle w:val="TableText"/>
            </w:pPr>
          </w:p>
        </w:tc>
        <w:tc>
          <w:tcPr>
            <w:tcW w:w="624" w:type="dxa"/>
            <w:gridSpan w:val="2"/>
          </w:tcPr>
          <w:p w14:paraId="5FC9C1A0" w14:textId="77777777" w:rsidR="00A6291E" w:rsidRDefault="00A6291E">
            <w:pPr>
              <w:pStyle w:val="TableText"/>
            </w:pPr>
          </w:p>
        </w:tc>
        <w:tc>
          <w:tcPr>
            <w:tcW w:w="624" w:type="dxa"/>
            <w:gridSpan w:val="2"/>
          </w:tcPr>
          <w:p w14:paraId="5A1604F8" w14:textId="77777777" w:rsidR="00A6291E" w:rsidRDefault="00A6291E">
            <w:pPr>
              <w:pStyle w:val="TableText"/>
            </w:pPr>
          </w:p>
        </w:tc>
        <w:tc>
          <w:tcPr>
            <w:tcW w:w="624" w:type="dxa"/>
          </w:tcPr>
          <w:p w14:paraId="19C982E0" w14:textId="77777777" w:rsidR="00A6291E" w:rsidRDefault="00A6291E">
            <w:pPr>
              <w:pStyle w:val="TableText"/>
            </w:pPr>
          </w:p>
        </w:tc>
        <w:tc>
          <w:tcPr>
            <w:tcW w:w="624" w:type="dxa"/>
            <w:gridSpan w:val="2"/>
          </w:tcPr>
          <w:p w14:paraId="62AE8A9D" w14:textId="77777777" w:rsidR="00A6291E" w:rsidRDefault="00A6291E">
            <w:pPr>
              <w:pStyle w:val="TableText"/>
            </w:pPr>
          </w:p>
        </w:tc>
        <w:tc>
          <w:tcPr>
            <w:tcW w:w="4650" w:type="dxa"/>
            <w:gridSpan w:val="2"/>
          </w:tcPr>
          <w:p w14:paraId="5D088E90" w14:textId="4834F7A1" w:rsidR="00A6291E" w:rsidRDefault="00A6291E" w:rsidP="00943415">
            <w:pPr>
              <w:pStyle w:val="TableBlock"/>
            </w:pPr>
            <w:r>
              <w:rPr>
                <w:rFonts w:hint="cs"/>
                <w:rtl/>
              </w:rPr>
              <w:t>(ב)</w:t>
            </w:r>
            <w:r>
              <w:rPr>
                <w:rtl/>
              </w:rPr>
              <w:tab/>
            </w:r>
            <w:r>
              <w:rPr>
                <w:rFonts w:hint="cs"/>
                <w:rtl/>
              </w:rPr>
              <w:t xml:space="preserve">מבוטח שלא נדרש להתייצב </w:t>
            </w:r>
            <w:r w:rsidR="00943415">
              <w:rPr>
                <w:rFonts w:hint="cs"/>
                <w:rtl/>
              </w:rPr>
              <w:t>ב</w:t>
            </w:r>
            <w:r>
              <w:rPr>
                <w:rFonts w:hint="cs"/>
                <w:rtl/>
              </w:rPr>
              <w:t>פני רופא, ועדה רפואית, פקיד תביעות, ועדה לעררים, ועדה רפואית לעררים או</w:t>
            </w:r>
            <w:r>
              <w:rPr>
                <w:rtl/>
              </w:rPr>
              <w:t xml:space="preserve"> </w:t>
            </w:r>
            <w:r w:rsidRPr="009D02CE">
              <w:rPr>
                <w:rtl/>
              </w:rPr>
              <w:t>ועדה לעררים לשירותים מיוחדים</w:t>
            </w:r>
            <w:r>
              <w:rPr>
                <w:rFonts w:hint="cs"/>
                <w:rtl/>
              </w:rPr>
              <w:t xml:space="preserve"> לפי סעיף קטן (א), יעביר למוסד את כל המסמכים הנדרשים לצורך בירור תביעתו; השר יקבע את רשימת המסמכים הנדרשים לפי סעיף קטן זה.</w:t>
            </w:r>
          </w:p>
        </w:tc>
      </w:tr>
      <w:tr w:rsidR="00A6291E" w14:paraId="79B7EBE3" w14:textId="77777777">
        <w:trPr>
          <w:gridAfter w:val="1"/>
          <w:wAfter w:w="17" w:type="dxa"/>
          <w:cantSplit/>
          <w:trHeight w:val="60"/>
        </w:trPr>
        <w:tc>
          <w:tcPr>
            <w:tcW w:w="1871" w:type="dxa"/>
          </w:tcPr>
          <w:p w14:paraId="320F2EB2" w14:textId="77777777" w:rsidR="00A6291E" w:rsidRDefault="00A6291E">
            <w:pPr>
              <w:pStyle w:val="TableSideHeading"/>
              <w:rPr>
                <w:rtl/>
              </w:rPr>
            </w:pPr>
          </w:p>
        </w:tc>
        <w:tc>
          <w:tcPr>
            <w:tcW w:w="624" w:type="dxa"/>
            <w:gridSpan w:val="2"/>
          </w:tcPr>
          <w:p w14:paraId="0B7F22E2" w14:textId="77777777" w:rsidR="00A6291E" w:rsidRDefault="00A6291E" w:rsidP="00A6291E">
            <w:pPr>
              <w:pStyle w:val="TableText"/>
            </w:pPr>
          </w:p>
        </w:tc>
        <w:tc>
          <w:tcPr>
            <w:tcW w:w="624" w:type="dxa"/>
            <w:gridSpan w:val="2"/>
          </w:tcPr>
          <w:p w14:paraId="2769DEC4" w14:textId="77777777" w:rsidR="00A6291E" w:rsidRDefault="00A6291E">
            <w:pPr>
              <w:pStyle w:val="TableText"/>
            </w:pPr>
          </w:p>
        </w:tc>
        <w:tc>
          <w:tcPr>
            <w:tcW w:w="624" w:type="dxa"/>
            <w:gridSpan w:val="2"/>
          </w:tcPr>
          <w:p w14:paraId="2393D48E" w14:textId="77777777" w:rsidR="00A6291E" w:rsidRDefault="00A6291E">
            <w:pPr>
              <w:pStyle w:val="TableText"/>
            </w:pPr>
          </w:p>
        </w:tc>
        <w:tc>
          <w:tcPr>
            <w:tcW w:w="624" w:type="dxa"/>
          </w:tcPr>
          <w:p w14:paraId="794E0CC5" w14:textId="77777777" w:rsidR="00A6291E" w:rsidRDefault="00A6291E">
            <w:pPr>
              <w:pStyle w:val="TableText"/>
            </w:pPr>
          </w:p>
        </w:tc>
        <w:tc>
          <w:tcPr>
            <w:tcW w:w="624" w:type="dxa"/>
            <w:gridSpan w:val="2"/>
          </w:tcPr>
          <w:p w14:paraId="424CE2D1" w14:textId="77777777" w:rsidR="00A6291E" w:rsidRDefault="00A6291E">
            <w:pPr>
              <w:pStyle w:val="TableText"/>
            </w:pPr>
          </w:p>
        </w:tc>
        <w:tc>
          <w:tcPr>
            <w:tcW w:w="4650" w:type="dxa"/>
            <w:gridSpan w:val="2"/>
          </w:tcPr>
          <w:p w14:paraId="1AA65281" w14:textId="0BB769A6" w:rsidR="00A6291E" w:rsidRDefault="00A6291E">
            <w:pPr>
              <w:pStyle w:val="TableBlock"/>
              <w:rPr>
                <w:rtl/>
              </w:rPr>
            </w:pPr>
            <w:r>
              <w:rPr>
                <w:rFonts w:hint="cs"/>
                <w:rtl/>
              </w:rPr>
              <w:t>(ג)</w:t>
            </w:r>
            <w:r>
              <w:rPr>
                <w:rtl/>
              </w:rPr>
              <w:tab/>
            </w:r>
            <w:r w:rsidR="00943415">
              <w:rPr>
                <w:rFonts w:hint="cs"/>
                <w:rtl/>
              </w:rPr>
              <w:t>מבוטח יוכל להתייצב ב</w:t>
            </w:r>
            <w:r>
              <w:rPr>
                <w:rFonts w:hint="cs"/>
                <w:rtl/>
              </w:rPr>
              <w:t>פני רופא, ועדה רפואית, פקיד תביעות, ועדה לעררים, ועדה רפואית לעררים או</w:t>
            </w:r>
            <w:r>
              <w:rPr>
                <w:rtl/>
              </w:rPr>
              <w:t xml:space="preserve"> </w:t>
            </w:r>
            <w:r w:rsidRPr="009D02CE">
              <w:rPr>
                <w:rtl/>
              </w:rPr>
              <w:t>ועדה לעררים לשירותים מיוחדים</w:t>
            </w:r>
            <w:r>
              <w:rPr>
                <w:rFonts w:hint="cs"/>
                <w:rtl/>
              </w:rPr>
              <w:t xml:space="preserve"> לפי פרק זה, גם אם לא נדרש לעשות כן לפי סעיף קטן (א), ובלבד שציין במסמכי התביעה או בהודעה בכתב שמסר למוסד שברצונו להתייצב כאמור."</w:t>
            </w:r>
          </w:p>
        </w:tc>
      </w:tr>
      <w:tr w:rsidR="00A6291E" w14:paraId="537E7527" w14:textId="77777777">
        <w:trPr>
          <w:gridAfter w:val="1"/>
          <w:wAfter w:w="17" w:type="dxa"/>
          <w:cantSplit/>
          <w:trHeight w:val="60"/>
        </w:trPr>
        <w:tc>
          <w:tcPr>
            <w:tcW w:w="1871" w:type="dxa"/>
          </w:tcPr>
          <w:p w14:paraId="5E758E3F" w14:textId="77777777" w:rsidR="00A6291E" w:rsidRDefault="00A6291E">
            <w:pPr>
              <w:pStyle w:val="TableSideHeading"/>
              <w:keepLines w:val="0"/>
            </w:pPr>
          </w:p>
        </w:tc>
        <w:tc>
          <w:tcPr>
            <w:tcW w:w="624" w:type="dxa"/>
            <w:gridSpan w:val="2"/>
          </w:tcPr>
          <w:p w14:paraId="5EDEF867" w14:textId="77777777" w:rsidR="00A6291E" w:rsidRDefault="00A6291E">
            <w:pPr>
              <w:pStyle w:val="TableText"/>
              <w:keepLines w:val="0"/>
            </w:pPr>
          </w:p>
        </w:tc>
        <w:tc>
          <w:tcPr>
            <w:tcW w:w="1872" w:type="dxa"/>
            <w:gridSpan w:val="5"/>
          </w:tcPr>
          <w:p w14:paraId="2AEC6860" w14:textId="272C616A" w:rsidR="00A6291E" w:rsidRDefault="00C366EC" w:rsidP="00C366EC">
            <w:pPr>
              <w:pStyle w:val="TableInnerSideHeading"/>
            </w:pPr>
            <w:r>
              <w:rPr>
                <w:rFonts w:hint="cs"/>
                <w:rtl/>
              </w:rPr>
              <w:t xml:space="preserve">מועד מסירת </w:t>
            </w:r>
            <w:r w:rsidR="00201277">
              <w:rPr>
                <w:rFonts w:hint="cs"/>
                <w:rtl/>
              </w:rPr>
              <w:t>ה</w:t>
            </w:r>
            <w:r>
              <w:rPr>
                <w:rFonts w:hint="cs"/>
                <w:rtl/>
              </w:rPr>
              <w:t>ה</w:t>
            </w:r>
            <w:r w:rsidR="00201277">
              <w:rPr>
                <w:rFonts w:hint="cs"/>
                <w:rtl/>
              </w:rPr>
              <w:t xml:space="preserve">חלטה </w:t>
            </w:r>
            <w:r>
              <w:rPr>
                <w:rFonts w:hint="cs"/>
                <w:rtl/>
              </w:rPr>
              <w:t>למבוטח</w:t>
            </w:r>
            <w:r w:rsidR="00201277">
              <w:rPr>
                <w:rFonts w:hint="cs"/>
                <w:rtl/>
              </w:rPr>
              <w:t xml:space="preserve"> </w:t>
            </w:r>
          </w:p>
        </w:tc>
        <w:tc>
          <w:tcPr>
            <w:tcW w:w="624" w:type="dxa"/>
            <w:gridSpan w:val="2"/>
          </w:tcPr>
          <w:p w14:paraId="4A6D065D" w14:textId="349323C8" w:rsidR="00A6291E" w:rsidRDefault="00A6291E">
            <w:pPr>
              <w:pStyle w:val="TableText"/>
            </w:pPr>
            <w:r>
              <w:rPr>
                <w:rFonts w:hint="cs"/>
                <w:rtl/>
              </w:rPr>
              <w:t>214ב.</w:t>
            </w:r>
          </w:p>
        </w:tc>
        <w:tc>
          <w:tcPr>
            <w:tcW w:w="4650" w:type="dxa"/>
            <w:gridSpan w:val="2"/>
          </w:tcPr>
          <w:p w14:paraId="5399EF4E" w14:textId="165CC37F" w:rsidR="00A6291E" w:rsidRDefault="00F94E97" w:rsidP="000A7188">
            <w:pPr>
              <w:pStyle w:val="TableBlock"/>
            </w:pPr>
            <w:r>
              <w:rPr>
                <w:rFonts w:hint="cs"/>
                <w:rtl/>
              </w:rPr>
              <w:t>המוסד ימציא למבוטח</w:t>
            </w:r>
            <w:r w:rsidR="00943415">
              <w:rPr>
                <w:rFonts w:hint="cs"/>
                <w:rtl/>
              </w:rPr>
              <w:t xml:space="preserve"> </w:t>
            </w:r>
            <w:r>
              <w:rPr>
                <w:rFonts w:hint="cs"/>
                <w:rtl/>
              </w:rPr>
              <w:t>הודעה ובה החלטה בדבר קביעת אחוזי נכות לפי סעיף 208, קביעת דרגת אי כושר להשתכר לפי סעיף 209, קביעת דרגה זמנית של אי כושר להשתכר לפי סעיף 210, ערר על החלטת פקיד תביעות או רופא מוסמך לפי סעיף 211 ובדיקה מחדש של אי כושר להשתכר לפי סעיף 214,</w:t>
            </w:r>
            <w:r w:rsidR="000A7188">
              <w:rPr>
                <w:rFonts w:hint="cs"/>
                <w:rtl/>
              </w:rPr>
              <w:t xml:space="preserve"> לפי העניין, </w:t>
            </w:r>
            <w:r>
              <w:rPr>
                <w:rFonts w:hint="cs"/>
                <w:rtl/>
              </w:rPr>
              <w:t>בתוך ארבעה חודשים מהמועד שבו הגיש התובע למוסד את מסמכי התביעה."</w:t>
            </w:r>
          </w:p>
        </w:tc>
      </w:tr>
      <w:tr w:rsidR="0062519C" w:rsidRPr="008E7DEA" w14:paraId="3D0E18C4" w14:textId="77777777" w:rsidTr="009F1533">
        <w:trPr>
          <w:cantSplit/>
        </w:trPr>
        <w:tc>
          <w:tcPr>
            <w:tcW w:w="1889" w:type="dxa"/>
            <w:gridSpan w:val="2"/>
          </w:tcPr>
          <w:p w14:paraId="226B8EC3" w14:textId="420B05CE" w:rsidR="0062519C" w:rsidRPr="00F54A63" w:rsidRDefault="0062519C" w:rsidP="0062519C">
            <w:pPr>
              <w:pStyle w:val="TableSideHeading"/>
              <w:keepLines w:val="0"/>
            </w:pPr>
            <w:r>
              <w:rPr>
                <w:rFonts w:hint="cs"/>
                <w:rtl/>
              </w:rPr>
              <w:t>תיקון סעיף 398</w:t>
            </w:r>
            <w:r w:rsidRPr="00F54A63">
              <w:rPr>
                <w:rtl/>
              </w:rPr>
              <w:t xml:space="preserve"> </w:t>
            </w:r>
          </w:p>
        </w:tc>
        <w:tc>
          <w:tcPr>
            <w:tcW w:w="624" w:type="dxa"/>
            <w:gridSpan w:val="2"/>
          </w:tcPr>
          <w:p w14:paraId="13509CD8" w14:textId="2560D146" w:rsidR="0062519C" w:rsidRPr="00F54A63" w:rsidRDefault="009F1533" w:rsidP="0062519C">
            <w:pPr>
              <w:pStyle w:val="TableText"/>
              <w:keepLines w:val="0"/>
            </w:pPr>
            <w:r>
              <w:rPr>
                <w:rFonts w:hint="cs"/>
                <w:rtl/>
              </w:rPr>
              <w:t>5.</w:t>
            </w:r>
          </w:p>
        </w:tc>
        <w:tc>
          <w:tcPr>
            <w:tcW w:w="7145" w:type="dxa"/>
            <w:gridSpan w:val="9"/>
          </w:tcPr>
          <w:p w14:paraId="169DC152" w14:textId="472FB545" w:rsidR="0062519C" w:rsidRPr="00F54A63" w:rsidRDefault="0062519C" w:rsidP="002472E0">
            <w:pPr>
              <w:pStyle w:val="TableBlock"/>
              <w:rPr>
                <w:rtl/>
              </w:rPr>
            </w:pPr>
            <w:r>
              <w:rPr>
                <w:rFonts w:hint="cs"/>
                <w:rtl/>
              </w:rPr>
              <w:t>בסעיף 398 לחוק העיקרי, אחרי סעיף קטן (א1) יבוא</w:t>
            </w:r>
            <w:r w:rsidRPr="00F54A63">
              <w:rPr>
                <w:rtl/>
              </w:rPr>
              <w:t>:</w:t>
            </w:r>
          </w:p>
        </w:tc>
      </w:tr>
      <w:tr w:rsidR="0062519C" w:rsidRPr="008E7DEA" w14:paraId="2C47E33E" w14:textId="77777777" w:rsidTr="009F1533">
        <w:trPr>
          <w:cantSplit/>
        </w:trPr>
        <w:tc>
          <w:tcPr>
            <w:tcW w:w="1889" w:type="dxa"/>
            <w:gridSpan w:val="2"/>
          </w:tcPr>
          <w:p w14:paraId="7E6FDBAE" w14:textId="3C3F3EBB" w:rsidR="0062519C" w:rsidRDefault="0062519C" w:rsidP="0062519C">
            <w:pPr>
              <w:pStyle w:val="TableSideHeading"/>
              <w:keepLines w:val="0"/>
              <w:rPr>
                <w:rtl/>
              </w:rPr>
            </w:pPr>
          </w:p>
        </w:tc>
        <w:tc>
          <w:tcPr>
            <w:tcW w:w="624" w:type="dxa"/>
            <w:gridSpan w:val="2"/>
          </w:tcPr>
          <w:p w14:paraId="244B9EE5" w14:textId="77777777" w:rsidR="0062519C" w:rsidRPr="00F54A63" w:rsidRDefault="0062519C" w:rsidP="002472E0">
            <w:pPr>
              <w:pStyle w:val="TableText"/>
              <w:rPr>
                <w:rtl/>
              </w:rPr>
            </w:pPr>
          </w:p>
        </w:tc>
        <w:tc>
          <w:tcPr>
            <w:tcW w:w="7145" w:type="dxa"/>
            <w:gridSpan w:val="9"/>
          </w:tcPr>
          <w:p w14:paraId="041B7443" w14:textId="4CC84699" w:rsidR="0062519C" w:rsidRDefault="0062519C" w:rsidP="00A6291E">
            <w:pPr>
              <w:pStyle w:val="TableBlock"/>
              <w:rPr>
                <w:rtl/>
              </w:rPr>
            </w:pPr>
            <w:r>
              <w:rPr>
                <w:rFonts w:hint="cs"/>
                <w:rtl/>
              </w:rPr>
              <w:t>"(א1א)</w:t>
            </w:r>
            <w:r>
              <w:rPr>
                <w:rtl/>
              </w:rPr>
              <w:tab/>
            </w:r>
            <w:r w:rsidR="003D516A">
              <w:rPr>
                <w:rFonts w:hint="cs"/>
                <w:rtl/>
              </w:rPr>
              <w:t>תובע שמסר מסמכים כוזבים</w:t>
            </w:r>
            <w:r w:rsidR="002472E0">
              <w:rPr>
                <w:rFonts w:hint="cs"/>
                <w:rtl/>
              </w:rPr>
              <w:t>,</w:t>
            </w:r>
            <w:r w:rsidR="003D516A">
              <w:rPr>
                <w:rFonts w:hint="cs"/>
                <w:rtl/>
              </w:rPr>
              <w:t xml:space="preserve"> מטעים </w:t>
            </w:r>
            <w:r w:rsidR="002472E0">
              <w:rPr>
                <w:rFonts w:hint="cs"/>
                <w:rtl/>
              </w:rPr>
              <w:t xml:space="preserve">או חלקיים </w:t>
            </w:r>
            <w:r w:rsidR="003D516A">
              <w:rPr>
                <w:rFonts w:hint="cs"/>
                <w:rtl/>
              </w:rPr>
              <w:t>לפי סעיפים</w:t>
            </w:r>
            <w:r w:rsidR="009F1533">
              <w:rPr>
                <w:rFonts w:hint="cs"/>
                <w:rtl/>
              </w:rPr>
              <w:t xml:space="preserve"> 122א(ב) או </w:t>
            </w:r>
            <w:r w:rsidR="009F1533" w:rsidRPr="006F03E3">
              <w:rPr>
                <w:rFonts w:hint="cs"/>
                <w:rtl/>
              </w:rPr>
              <w:t>214א(ב)</w:t>
            </w:r>
            <w:r w:rsidR="003D516A" w:rsidRPr="006F03E3">
              <w:rPr>
                <w:rFonts w:hint="cs"/>
                <w:rtl/>
              </w:rPr>
              <w:t xml:space="preserve"> לצורך הוכחת זכאותו לקצבה לפי פרקים ה' ו-ט'</w:t>
            </w:r>
            <w:r w:rsidRPr="006F03E3">
              <w:rPr>
                <w:rtl/>
              </w:rPr>
              <w:t xml:space="preserve"> דינו – מאסר שלוש שנים או קנס פי שלושה מן הקנס האמור בסעיף 61(א)(4) לחוק העונשין, התשל"ז</w:t>
            </w:r>
            <w:r w:rsidRPr="006F03E3">
              <w:rPr>
                <w:rFonts w:hint="eastAsia"/>
                <w:rtl/>
              </w:rPr>
              <w:t>–</w:t>
            </w:r>
            <w:r w:rsidRPr="006F03E3">
              <w:rPr>
                <w:rtl/>
              </w:rPr>
              <w:t>19</w:t>
            </w:r>
            <w:r w:rsidR="009F1533" w:rsidRPr="006F03E3">
              <w:rPr>
                <w:rFonts w:hint="cs"/>
                <w:rtl/>
              </w:rPr>
              <w:t>7</w:t>
            </w:r>
            <w:r w:rsidRPr="006F03E3">
              <w:rPr>
                <w:rtl/>
              </w:rPr>
              <w:t>7</w:t>
            </w:r>
            <w:r w:rsidR="009F1533" w:rsidRPr="006F03E3">
              <w:rPr>
                <w:rFonts w:hint="cs"/>
                <w:rtl/>
              </w:rPr>
              <w:t>".</w:t>
            </w:r>
          </w:p>
        </w:tc>
      </w:tr>
      <w:tr w:rsidR="0062519C" w:rsidRPr="00C34DE2" w14:paraId="075F3C7B" w14:textId="77777777" w:rsidTr="009F1533">
        <w:trPr>
          <w:cantSplit/>
        </w:trPr>
        <w:tc>
          <w:tcPr>
            <w:tcW w:w="1889" w:type="dxa"/>
            <w:gridSpan w:val="2"/>
          </w:tcPr>
          <w:p w14:paraId="332B72A7" w14:textId="01C68687" w:rsidR="0062519C" w:rsidRDefault="0062519C" w:rsidP="0062519C">
            <w:pPr>
              <w:pStyle w:val="TableSideHeading"/>
              <w:keepLines w:val="0"/>
            </w:pPr>
            <w:r>
              <w:rPr>
                <w:rtl/>
              </w:rPr>
              <w:t>תחילה</w:t>
            </w:r>
          </w:p>
        </w:tc>
        <w:tc>
          <w:tcPr>
            <w:tcW w:w="624" w:type="dxa"/>
            <w:gridSpan w:val="2"/>
          </w:tcPr>
          <w:p w14:paraId="24DA4976" w14:textId="2B4B828F" w:rsidR="0062519C" w:rsidRDefault="009F1533" w:rsidP="0062519C">
            <w:pPr>
              <w:pStyle w:val="TableText"/>
              <w:keepLines w:val="0"/>
            </w:pPr>
            <w:r>
              <w:rPr>
                <w:rFonts w:hint="cs"/>
                <w:rtl/>
              </w:rPr>
              <w:t>6</w:t>
            </w:r>
            <w:r w:rsidR="0062519C">
              <w:rPr>
                <w:rFonts w:hint="cs"/>
                <w:rtl/>
              </w:rPr>
              <w:t>.</w:t>
            </w:r>
          </w:p>
        </w:tc>
        <w:tc>
          <w:tcPr>
            <w:tcW w:w="7145" w:type="dxa"/>
            <w:gridSpan w:val="9"/>
          </w:tcPr>
          <w:p w14:paraId="6540F0B5" w14:textId="32FF28A1" w:rsidR="0062519C" w:rsidRPr="00C34DE2" w:rsidRDefault="0062519C" w:rsidP="0062519C">
            <w:pPr>
              <w:pStyle w:val="TableBlock"/>
            </w:pPr>
            <w:r>
              <w:rPr>
                <w:rtl/>
              </w:rPr>
              <w:t>תחילתו של חוק זה תשעים ימים מיום פרסומו.</w:t>
            </w:r>
          </w:p>
        </w:tc>
      </w:tr>
    </w:tbl>
    <w:p w14:paraId="7F6961CA" w14:textId="77777777" w:rsidR="002D1EE3" w:rsidRDefault="002D1EE3" w:rsidP="002D1EE3">
      <w:pPr>
        <w:pStyle w:val="HeadDivreiHesber"/>
        <w:rPr>
          <w:rtl/>
        </w:rPr>
      </w:pPr>
      <w:r w:rsidRPr="0027450A">
        <w:rPr>
          <w:rFonts w:hint="cs"/>
          <w:rtl/>
        </w:rPr>
        <w:t>דברי הסבר</w:t>
      </w:r>
    </w:p>
    <w:p w14:paraId="1620A87A" w14:textId="42A442C3" w:rsidR="005A78E8" w:rsidRDefault="009F1533" w:rsidP="006F03E3">
      <w:pPr>
        <w:pStyle w:val="Hesber1st"/>
        <w:tabs>
          <w:tab w:val="clear" w:pos="680"/>
        </w:tabs>
        <w:rPr>
          <w:rtl/>
        </w:rPr>
      </w:pPr>
      <w:r>
        <w:rPr>
          <w:rFonts w:hint="cs"/>
          <w:rtl/>
        </w:rPr>
        <w:t xml:space="preserve">מטרת הצעת החוק היא </w:t>
      </w:r>
      <w:r w:rsidR="005A78E8">
        <w:rPr>
          <w:rtl/>
        </w:rPr>
        <w:t>לשנות</w:t>
      </w:r>
      <w:r w:rsidR="005A78E8" w:rsidRPr="009A0174">
        <w:rPr>
          <w:rtl/>
        </w:rPr>
        <w:t xml:space="preserve"> את </w:t>
      </w:r>
      <w:r w:rsidR="005A78E8">
        <w:rPr>
          <w:rtl/>
        </w:rPr>
        <w:t>ה</w:t>
      </w:r>
      <w:r w:rsidR="005A78E8" w:rsidRPr="009A0174">
        <w:rPr>
          <w:rtl/>
        </w:rPr>
        <w:t>ליך ה</w:t>
      </w:r>
      <w:r w:rsidR="005A78E8">
        <w:rPr>
          <w:rtl/>
        </w:rPr>
        <w:t xml:space="preserve">הכרה </w:t>
      </w:r>
      <w:r w:rsidR="005A78E8">
        <w:rPr>
          <w:rFonts w:hint="cs"/>
          <w:rtl/>
        </w:rPr>
        <w:t>ב</w:t>
      </w:r>
      <w:r w:rsidR="005A78E8">
        <w:rPr>
          <w:rtl/>
        </w:rPr>
        <w:t>זכאות לקצב</w:t>
      </w:r>
      <w:r w:rsidR="00B229E7">
        <w:rPr>
          <w:rFonts w:hint="cs"/>
          <w:rtl/>
        </w:rPr>
        <w:t>או</w:t>
      </w:r>
      <w:r w:rsidR="005A78E8">
        <w:rPr>
          <w:rtl/>
        </w:rPr>
        <w:t>ת נכות</w:t>
      </w:r>
      <w:r>
        <w:rPr>
          <w:rFonts w:hint="cs"/>
          <w:rtl/>
        </w:rPr>
        <w:t xml:space="preserve"> עבודה ונכות כללית. </w:t>
      </w:r>
      <w:r w:rsidR="005A78E8">
        <w:rPr>
          <w:rFonts w:hint="cs"/>
          <w:rtl/>
        </w:rPr>
        <w:t>השינויים המוצעים ב</w:t>
      </w:r>
      <w:r>
        <w:rPr>
          <w:rFonts w:hint="cs"/>
          <w:rtl/>
        </w:rPr>
        <w:t>הצעת ה</w:t>
      </w:r>
      <w:r w:rsidR="005A78E8">
        <w:rPr>
          <w:rFonts w:hint="cs"/>
          <w:rtl/>
        </w:rPr>
        <w:t>חוק</w:t>
      </w:r>
      <w:r>
        <w:rPr>
          <w:rFonts w:hint="cs"/>
          <w:rtl/>
        </w:rPr>
        <w:t xml:space="preserve"> </w:t>
      </w:r>
      <w:r w:rsidR="005A78E8">
        <w:rPr>
          <w:rFonts w:hint="cs"/>
          <w:rtl/>
        </w:rPr>
        <w:t>מגלמים נקודת איזון ראויה ומידתית</w:t>
      </w:r>
      <w:r w:rsidR="005A78E8">
        <w:rPr>
          <w:rtl/>
        </w:rPr>
        <w:t xml:space="preserve"> </w:t>
      </w:r>
      <w:r w:rsidR="005A78E8" w:rsidRPr="00AB41FF">
        <w:rPr>
          <w:rtl/>
        </w:rPr>
        <w:t>בין</w:t>
      </w:r>
      <w:r w:rsidR="005A78E8">
        <w:rPr>
          <w:rtl/>
        </w:rPr>
        <w:t xml:space="preserve"> הפרוצ</w:t>
      </w:r>
      <w:r w:rsidR="005A78E8" w:rsidRPr="00AB41FF">
        <w:rPr>
          <w:rtl/>
        </w:rPr>
        <w:t>דורה</w:t>
      </w:r>
      <w:r w:rsidR="005A78E8">
        <w:rPr>
          <w:rtl/>
        </w:rPr>
        <w:t xml:space="preserve"> הנדרשת</w:t>
      </w:r>
      <w:r w:rsidR="005A78E8">
        <w:rPr>
          <w:rFonts w:hint="cs"/>
          <w:rtl/>
        </w:rPr>
        <w:t xml:space="preserve"> </w:t>
      </w:r>
      <w:r>
        <w:rPr>
          <w:rFonts w:hint="cs"/>
          <w:rtl/>
        </w:rPr>
        <w:t xml:space="preserve">להוכחת זכאות לקצבה </w:t>
      </w:r>
      <w:r w:rsidR="005A78E8" w:rsidRPr="00AB41FF">
        <w:rPr>
          <w:rtl/>
        </w:rPr>
        <w:t>ל</w:t>
      </w:r>
      <w:r w:rsidR="005A78E8">
        <w:rPr>
          <w:rtl/>
        </w:rPr>
        <w:t xml:space="preserve">בין </w:t>
      </w:r>
      <w:r w:rsidR="005A78E8" w:rsidRPr="00AB41FF">
        <w:rPr>
          <w:rtl/>
        </w:rPr>
        <w:t>אוכלוסיית היעד</w:t>
      </w:r>
      <w:r w:rsidR="005A78E8">
        <w:rPr>
          <w:rFonts w:hint="cs"/>
          <w:rtl/>
        </w:rPr>
        <w:t xml:space="preserve"> </w:t>
      </w:r>
      <w:r>
        <w:rPr>
          <w:rFonts w:hint="cs"/>
          <w:rtl/>
        </w:rPr>
        <w:t>ש</w:t>
      </w:r>
      <w:r w:rsidR="005A78E8">
        <w:rPr>
          <w:rFonts w:hint="cs"/>
          <w:rtl/>
        </w:rPr>
        <w:t>ל</w:t>
      </w:r>
      <w:r>
        <w:rPr>
          <w:rFonts w:hint="cs"/>
          <w:rtl/>
        </w:rPr>
        <w:t xml:space="preserve"> </w:t>
      </w:r>
      <w:r w:rsidR="005A78E8">
        <w:rPr>
          <w:rtl/>
        </w:rPr>
        <w:t>הנכים</w:t>
      </w:r>
      <w:r>
        <w:rPr>
          <w:rFonts w:hint="cs"/>
          <w:rtl/>
        </w:rPr>
        <w:t xml:space="preserve">. מטרת הצעת החוק היא לסייע במיצוי זכויותיהם  </w:t>
      </w:r>
      <w:r w:rsidR="005A78E8">
        <w:rPr>
          <w:rtl/>
        </w:rPr>
        <w:t xml:space="preserve">של </w:t>
      </w:r>
      <w:r>
        <w:rPr>
          <w:rFonts w:hint="cs"/>
          <w:rtl/>
        </w:rPr>
        <w:t xml:space="preserve">התובעים קצבת נכות </w:t>
      </w:r>
      <w:r w:rsidR="005A78E8">
        <w:rPr>
          <w:rFonts w:hint="cs"/>
          <w:rtl/>
        </w:rPr>
        <w:t xml:space="preserve">באופן </w:t>
      </w:r>
      <w:r w:rsidR="005A78E8">
        <w:rPr>
          <w:rtl/>
        </w:rPr>
        <w:t>ראוי</w:t>
      </w:r>
      <w:r w:rsidR="005A78E8">
        <w:rPr>
          <w:rFonts w:hint="cs"/>
          <w:rtl/>
        </w:rPr>
        <w:t>, ובכך להביא להגשמת</w:t>
      </w:r>
      <w:r w:rsidR="005A78E8" w:rsidRPr="00AB41FF">
        <w:rPr>
          <w:rtl/>
        </w:rPr>
        <w:t xml:space="preserve"> ערכי </w:t>
      </w:r>
      <w:r w:rsidR="005A78E8">
        <w:rPr>
          <w:rtl/>
        </w:rPr>
        <w:t>ה</w:t>
      </w:r>
      <w:r w:rsidR="005A78E8" w:rsidRPr="00AB41FF">
        <w:rPr>
          <w:rtl/>
        </w:rPr>
        <w:t>יסוד ובראשם כבוד האדם וחירותו</w:t>
      </w:r>
      <w:r>
        <w:rPr>
          <w:rFonts w:hint="cs"/>
          <w:rtl/>
        </w:rPr>
        <w:t xml:space="preserve"> ובנוסף להביא</w:t>
      </w:r>
      <w:r w:rsidR="00B229E7">
        <w:rPr>
          <w:rFonts w:hint="cs"/>
          <w:rtl/>
        </w:rPr>
        <w:t xml:space="preserve"> ל</w:t>
      </w:r>
      <w:r w:rsidR="0032686B">
        <w:rPr>
          <w:rFonts w:hint="cs"/>
          <w:rtl/>
        </w:rPr>
        <w:t>צ</w:t>
      </w:r>
      <w:r w:rsidR="000C5AC5">
        <w:rPr>
          <w:rFonts w:hint="cs"/>
          <w:rtl/>
        </w:rPr>
        <w:t>מצום</w:t>
      </w:r>
      <w:r w:rsidR="005A78E8">
        <w:rPr>
          <w:rtl/>
        </w:rPr>
        <w:t xml:space="preserve"> </w:t>
      </w:r>
      <w:r w:rsidR="0032686B">
        <w:rPr>
          <w:rFonts w:hint="cs"/>
          <w:rtl/>
        </w:rPr>
        <w:t>ה</w:t>
      </w:r>
      <w:r w:rsidR="005A78E8">
        <w:rPr>
          <w:rtl/>
        </w:rPr>
        <w:t>עלויות ו</w:t>
      </w:r>
      <w:r w:rsidR="0032686B">
        <w:rPr>
          <w:rFonts w:hint="cs"/>
          <w:rtl/>
        </w:rPr>
        <w:t>ה</w:t>
      </w:r>
      <w:r w:rsidR="005A78E8">
        <w:rPr>
          <w:rtl/>
        </w:rPr>
        <w:t xml:space="preserve">משאבים </w:t>
      </w:r>
      <w:r w:rsidR="005A78E8">
        <w:rPr>
          <w:rFonts w:hint="cs"/>
          <w:rtl/>
        </w:rPr>
        <w:t xml:space="preserve">הנדרשים </w:t>
      </w:r>
      <w:r>
        <w:rPr>
          <w:rFonts w:hint="cs"/>
          <w:rtl/>
        </w:rPr>
        <w:t>לשם</w:t>
      </w:r>
      <w:r w:rsidR="00B229E7">
        <w:rPr>
          <w:rFonts w:hint="cs"/>
          <w:rtl/>
        </w:rPr>
        <w:t xml:space="preserve"> </w:t>
      </w:r>
      <w:r w:rsidR="005A78E8">
        <w:rPr>
          <w:rtl/>
        </w:rPr>
        <w:t>בירור תביעות.</w:t>
      </w:r>
    </w:p>
    <w:p w14:paraId="7DEC1CAB" w14:textId="5189DC6E" w:rsidR="005A78E8" w:rsidRDefault="005A78E8" w:rsidP="009E73B9">
      <w:pPr>
        <w:pStyle w:val="Hesber"/>
        <w:rPr>
          <w:rtl/>
        </w:rPr>
      </w:pPr>
      <w:r>
        <w:rPr>
          <w:rtl/>
        </w:rPr>
        <w:t xml:space="preserve">כפי שעולה </w:t>
      </w:r>
      <w:r>
        <w:rPr>
          <w:rFonts w:hint="cs"/>
          <w:rtl/>
        </w:rPr>
        <w:t>מ</w:t>
      </w:r>
      <w:r w:rsidR="00943415">
        <w:rPr>
          <w:rtl/>
        </w:rPr>
        <w:t>דו</w:t>
      </w:r>
      <w:r>
        <w:rPr>
          <w:rtl/>
        </w:rPr>
        <w:t>ח מבקר המדינה</w:t>
      </w:r>
      <w:r w:rsidR="0032686B">
        <w:rPr>
          <w:rFonts w:hint="cs"/>
          <w:rtl/>
        </w:rPr>
        <w:t xml:space="preserve"> משנת</w:t>
      </w:r>
      <w:r w:rsidR="00B229E7">
        <w:rPr>
          <w:rFonts w:hint="cs"/>
          <w:rtl/>
        </w:rPr>
        <w:t xml:space="preserve"> </w:t>
      </w:r>
      <w:r w:rsidRPr="0018792B">
        <w:rPr>
          <w:rtl/>
        </w:rPr>
        <w:t>2015</w:t>
      </w:r>
      <w:r>
        <w:rPr>
          <w:rFonts w:hint="cs"/>
          <w:rtl/>
        </w:rPr>
        <w:t xml:space="preserve"> </w:t>
      </w:r>
      <w:r>
        <w:rPr>
          <w:rtl/>
        </w:rPr>
        <w:t>(</w:t>
      </w:r>
      <w:r w:rsidRPr="009E73B9">
        <w:rPr>
          <w:rFonts w:hint="cs"/>
          <w:b/>
          <w:bCs/>
          <w:rtl/>
        </w:rPr>
        <w:t>דוח שנתי 65ג לשנת 2014 ולחשבונות שנת הכספים 2013</w:t>
      </w:r>
      <w:r w:rsidR="006F03E3" w:rsidRPr="009E73B9">
        <w:rPr>
          <w:rFonts w:hint="cs"/>
          <w:b/>
          <w:bCs/>
          <w:rtl/>
        </w:rPr>
        <w:t xml:space="preserve"> למבקר המדינה</w:t>
      </w:r>
      <w:r w:rsidR="006F03E3" w:rsidRPr="009E73B9">
        <w:rPr>
          <w:rFonts w:hint="cs"/>
          <w:rtl/>
        </w:rPr>
        <w:t>, התשע"ה</w:t>
      </w:r>
      <w:r w:rsidR="006F03E3">
        <w:rPr>
          <w:rFonts w:hint="cs"/>
          <w:rtl/>
        </w:rPr>
        <w:t xml:space="preserve"> (2015)</w:t>
      </w:r>
      <w:r>
        <w:rPr>
          <w:rtl/>
        </w:rPr>
        <w:t>)</w:t>
      </w:r>
      <w:r w:rsidRPr="00BF584B">
        <w:rPr>
          <w:rtl/>
        </w:rPr>
        <w:t xml:space="preserve"> </w:t>
      </w:r>
      <w:r>
        <w:rPr>
          <w:rFonts w:hint="cs"/>
          <w:rtl/>
        </w:rPr>
        <w:t>אנו מצויים</w:t>
      </w:r>
      <w:r>
        <w:rPr>
          <w:rtl/>
        </w:rPr>
        <w:t xml:space="preserve"> </w:t>
      </w:r>
      <w:r>
        <w:rPr>
          <w:rFonts w:hint="cs"/>
          <w:rtl/>
        </w:rPr>
        <w:t>ב</w:t>
      </w:r>
      <w:r>
        <w:rPr>
          <w:rtl/>
        </w:rPr>
        <w:t>מציאות עגומה באשר לאי</w:t>
      </w:r>
      <w:r>
        <w:rPr>
          <w:rFonts w:hint="cs"/>
          <w:rtl/>
        </w:rPr>
        <w:t>-</w:t>
      </w:r>
      <w:r>
        <w:rPr>
          <w:rtl/>
        </w:rPr>
        <w:t>מיצוי זכויות סוציאליות וחברתיות</w:t>
      </w:r>
      <w:r>
        <w:rPr>
          <w:rFonts w:hint="cs"/>
          <w:rtl/>
        </w:rPr>
        <w:t xml:space="preserve"> על ידי הזכאים להן. </w:t>
      </w:r>
      <w:r w:rsidRPr="00070CEB">
        <w:rPr>
          <w:rtl/>
        </w:rPr>
        <w:t>על פי הערכות ה</w:t>
      </w:r>
      <w:r>
        <w:rPr>
          <w:rFonts w:hint="cs"/>
          <w:rtl/>
        </w:rPr>
        <w:t>מוסד ל</w:t>
      </w:r>
      <w:r w:rsidRPr="00070CEB">
        <w:rPr>
          <w:rtl/>
        </w:rPr>
        <w:t>ביטוח לאומי, שווי הזכויות הכספ</w:t>
      </w:r>
      <w:r>
        <w:rPr>
          <w:rtl/>
        </w:rPr>
        <w:t>יות שלא הועברו כנדרש לזכאים</w:t>
      </w:r>
      <w:r>
        <w:rPr>
          <w:rFonts w:hint="cs"/>
          <w:rtl/>
        </w:rPr>
        <w:t xml:space="preserve"> עומד על סך של</w:t>
      </w:r>
      <w:r>
        <w:rPr>
          <w:rtl/>
        </w:rPr>
        <w:t xml:space="preserve"> </w:t>
      </w:r>
      <w:r w:rsidRPr="00070CEB">
        <w:rPr>
          <w:rtl/>
        </w:rPr>
        <w:t>מיליארד שקלים</w:t>
      </w:r>
      <w:r>
        <w:rPr>
          <w:rFonts w:hint="cs"/>
          <w:rtl/>
        </w:rPr>
        <w:t xml:space="preserve">. </w:t>
      </w:r>
      <w:r>
        <w:rPr>
          <w:rtl/>
        </w:rPr>
        <w:t>מתחקירים עיתונאיים עולה כי שווי הזכויות</w:t>
      </w:r>
      <w:r w:rsidRPr="000A0BDC">
        <w:rPr>
          <w:rtl/>
        </w:rPr>
        <w:t xml:space="preserve"> </w:t>
      </w:r>
      <w:r w:rsidRPr="00070CEB">
        <w:rPr>
          <w:rtl/>
        </w:rPr>
        <w:t xml:space="preserve">הכספיות שלא הועברו כנדרש לזכאים </w:t>
      </w:r>
      <w:r>
        <w:rPr>
          <w:rFonts w:hint="cs"/>
          <w:rtl/>
        </w:rPr>
        <w:t>עומד על סך של</w:t>
      </w:r>
      <w:r w:rsidRPr="00070CEB">
        <w:rPr>
          <w:rtl/>
        </w:rPr>
        <w:t xml:space="preserve"> </w:t>
      </w:r>
      <w:r>
        <w:rPr>
          <w:rtl/>
        </w:rPr>
        <w:t xml:space="preserve">שלושה </w:t>
      </w:r>
      <w:r w:rsidRPr="00070CEB">
        <w:rPr>
          <w:rtl/>
        </w:rPr>
        <w:t>מיליארד שקלים</w:t>
      </w:r>
      <w:r>
        <w:rPr>
          <w:rFonts w:hint="cs"/>
          <w:rtl/>
        </w:rPr>
        <w:t>.</w:t>
      </w:r>
      <w:r w:rsidRPr="00070CEB">
        <w:rPr>
          <w:rtl/>
        </w:rPr>
        <w:t xml:space="preserve"> </w:t>
      </w:r>
    </w:p>
    <w:p w14:paraId="477677E5" w14:textId="739EF95F" w:rsidR="005A78E8" w:rsidRDefault="009F1533" w:rsidP="000A7188">
      <w:pPr>
        <w:pStyle w:val="Hesber"/>
        <w:rPr>
          <w:rtl/>
        </w:rPr>
      </w:pPr>
      <w:r>
        <w:rPr>
          <w:rFonts w:hint="cs"/>
          <w:rtl/>
        </w:rPr>
        <w:t xml:space="preserve">מוצע לקבוע כי </w:t>
      </w:r>
      <w:r w:rsidR="005A78E8">
        <w:rPr>
          <w:rFonts w:hint="cs"/>
          <w:rtl/>
        </w:rPr>
        <w:t>ועדה רפואית תקבע את דרגת ה</w:t>
      </w:r>
      <w:r w:rsidR="005A78E8">
        <w:rPr>
          <w:rtl/>
        </w:rPr>
        <w:t>נכות</w:t>
      </w:r>
      <w:r w:rsidR="005A78E8">
        <w:rPr>
          <w:rFonts w:hint="cs"/>
          <w:rtl/>
        </w:rPr>
        <w:t xml:space="preserve"> </w:t>
      </w:r>
      <w:r w:rsidR="005A78E8" w:rsidRPr="00AB41FF">
        <w:rPr>
          <w:rtl/>
        </w:rPr>
        <w:t xml:space="preserve">על סמך עיון </w:t>
      </w:r>
      <w:r w:rsidR="005A78E8" w:rsidRPr="006F03E3">
        <w:rPr>
          <w:rFonts w:hint="eastAsia"/>
          <w:rtl/>
        </w:rPr>
        <w:t>בלבד</w:t>
      </w:r>
      <w:r w:rsidR="005A78E8">
        <w:rPr>
          <w:rFonts w:hint="cs"/>
          <w:rtl/>
        </w:rPr>
        <w:t xml:space="preserve"> במסמכי התביעה המוגשים מטעם</w:t>
      </w:r>
      <w:r w:rsidR="005A78E8">
        <w:rPr>
          <w:rtl/>
        </w:rPr>
        <w:t xml:space="preserve"> </w:t>
      </w:r>
      <w:r w:rsidR="005A78E8">
        <w:rPr>
          <w:rFonts w:hint="cs"/>
          <w:rtl/>
        </w:rPr>
        <w:t xml:space="preserve">המבקש, למעט </w:t>
      </w:r>
      <w:r w:rsidR="00B229E7">
        <w:rPr>
          <w:rFonts w:hint="cs"/>
          <w:rtl/>
        </w:rPr>
        <w:t>ב</w:t>
      </w:r>
      <w:r w:rsidR="005A78E8">
        <w:rPr>
          <w:rFonts w:hint="cs"/>
          <w:rtl/>
        </w:rPr>
        <w:t xml:space="preserve">מקרים מיוחדים </w:t>
      </w:r>
      <w:r w:rsidR="00FB50D9">
        <w:rPr>
          <w:rFonts w:hint="cs"/>
          <w:rtl/>
        </w:rPr>
        <w:t>ש</w:t>
      </w:r>
      <w:r w:rsidR="005A78E8">
        <w:rPr>
          <w:rFonts w:hint="cs"/>
          <w:rtl/>
        </w:rPr>
        <w:t>יקבעו בתקנות</w:t>
      </w:r>
      <w:r w:rsidR="005A78E8" w:rsidRPr="00AB41FF">
        <w:rPr>
          <w:rtl/>
        </w:rPr>
        <w:t xml:space="preserve">. </w:t>
      </w:r>
      <w:r w:rsidR="005A78E8">
        <w:rPr>
          <w:rFonts w:hint="cs"/>
          <w:rtl/>
        </w:rPr>
        <w:t>זאת בניגוד ל</w:t>
      </w:r>
      <w:r w:rsidR="006F03E3">
        <w:rPr>
          <w:rFonts w:hint="cs"/>
          <w:rtl/>
        </w:rPr>
        <w:t>מצב כיום בו</w:t>
      </w:r>
      <w:r w:rsidR="005A78E8">
        <w:rPr>
          <w:rFonts w:hint="cs"/>
          <w:rtl/>
        </w:rPr>
        <w:t xml:space="preserve"> מרבית ה</w:t>
      </w:r>
      <w:r>
        <w:rPr>
          <w:rFonts w:hint="cs"/>
          <w:rtl/>
        </w:rPr>
        <w:t>תובעים</w:t>
      </w:r>
      <w:r w:rsidR="005A78E8">
        <w:rPr>
          <w:rFonts w:hint="cs"/>
          <w:rtl/>
        </w:rPr>
        <w:t xml:space="preserve"> נדרשים להתייצב </w:t>
      </w:r>
      <w:r w:rsidR="000A7188">
        <w:rPr>
          <w:rFonts w:hint="cs"/>
          <w:rtl/>
        </w:rPr>
        <w:t>ל</w:t>
      </w:r>
      <w:r w:rsidR="005A78E8">
        <w:rPr>
          <w:rFonts w:hint="cs"/>
          <w:rtl/>
        </w:rPr>
        <w:t>פני הו</w:t>
      </w:r>
      <w:r w:rsidR="00FB50D9">
        <w:rPr>
          <w:rFonts w:hint="cs"/>
          <w:rtl/>
        </w:rPr>
        <w:t>ו</w:t>
      </w:r>
      <w:r w:rsidR="005A78E8">
        <w:rPr>
          <w:rFonts w:hint="cs"/>
          <w:rtl/>
        </w:rPr>
        <w:t>עדה</w:t>
      </w:r>
      <w:r w:rsidR="00FB50D9">
        <w:rPr>
          <w:rFonts w:hint="cs"/>
          <w:rtl/>
        </w:rPr>
        <w:t>, בעוד שדרישה זו</w:t>
      </w:r>
      <w:r w:rsidR="005A78E8">
        <w:rPr>
          <w:rtl/>
        </w:rPr>
        <w:t xml:space="preserve"> אינה מותאמת לאוכלוסיית היעד</w:t>
      </w:r>
      <w:r w:rsidR="005A78E8">
        <w:rPr>
          <w:rFonts w:hint="cs"/>
          <w:rtl/>
        </w:rPr>
        <w:t xml:space="preserve">. </w:t>
      </w:r>
      <w:r w:rsidR="005A78E8">
        <w:rPr>
          <w:rtl/>
        </w:rPr>
        <w:t>אוכלוסייה זו מאופיינת בקשיים פיזיים-רפואיים, ופעמים רבות</w:t>
      </w:r>
      <w:r w:rsidR="000A7188">
        <w:rPr>
          <w:rFonts w:hint="cs"/>
          <w:rtl/>
        </w:rPr>
        <w:t xml:space="preserve"> </w:t>
      </w:r>
      <w:r w:rsidR="005A78E8">
        <w:rPr>
          <w:rtl/>
        </w:rPr>
        <w:t xml:space="preserve">אף בקשיים כלכליים. דרישת ההתייצבות, מערימה קשיים שלא לצורך, ומביאה להרחקת אוכלוסיית היעד </w:t>
      </w:r>
      <w:r>
        <w:rPr>
          <w:rFonts w:hint="cs"/>
          <w:rtl/>
        </w:rPr>
        <w:t>ממימוש</w:t>
      </w:r>
      <w:r w:rsidR="00B229E7">
        <w:rPr>
          <w:rFonts w:hint="cs"/>
          <w:rtl/>
        </w:rPr>
        <w:t xml:space="preserve"> </w:t>
      </w:r>
      <w:r w:rsidR="005A78E8">
        <w:rPr>
          <w:rtl/>
        </w:rPr>
        <w:t>זכויותיה.</w:t>
      </w:r>
      <w:r>
        <w:rPr>
          <w:rFonts w:hint="cs"/>
          <w:rtl/>
        </w:rPr>
        <w:t xml:space="preserve"> נדרש</w:t>
      </w:r>
      <w:r w:rsidR="00B229E7">
        <w:rPr>
          <w:rFonts w:hint="cs"/>
          <w:rtl/>
        </w:rPr>
        <w:t xml:space="preserve"> </w:t>
      </w:r>
      <w:r w:rsidR="005A78E8">
        <w:rPr>
          <w:rFonts w:hint="cs"/>
          <w:rtl/>
        </w:rPr>
        <w:t xml:space="preserve">להתאים </w:t>
      </w:r>
      <w:r w:rsidR="005A78E8">
        <w:rPr>
          <w:rtl/>
        </w:rPr>
        <w:t xml:space="preserve">בין </w:t>
      </w:r>
      <w:r w:rsidR="00FB50D9">
        <w:rPr>
          <w:rFonts w:hint="cs"/>
          <w:rtl/>
        </w:rPr>
        <w:t>הליך</w:t>
      </w:r>
      <w:r>
        <w:rPr>
          <w:rFonts w:hint="cs"/>
          <w:rtl/>
        </w:rPr>
        <w:t xml:space="preserve"> התביעה לקצבה</w:t>
      </w:r>
      <w:r w:rsidR="00FB50D9">
        <w:rPr>
          <w:rtl/>
        </w:rPr>
        <w:t xml:space="preserve"> </w:t>
      </w:r>
      <w:r w:rsidR="005A78E8">
        <w:rPr>
          <w:rtl/>
        </w:rPr>
        <w:t>לבין אוכלוסיית היעד ובכך</w:t>
      </w:r>
      <w:r w:rsidR="005A78E8" w:rsidRPr="00F04AC7">
        <w:rPr>
          <w:rtl/>
        </w:rPr>
        <w:t xml:space="preserve"> </w:t>
      </w:r>
      <w:r w:rsidR="000A7188">
        <w:rPr>
          <w:rtl/>
        </w:rPr>
        <w:t>להביא למיצוי זכויות מ</w:t>
      </w:r>
      <w:r w:rsidR="005A78E8">
        <w:rPr>
          <w:rtl/>
        </w:rPr>
        <w:t>רבי</w:t>
      </w:r>
      <w:r w:rsidR="00B229E7">
        <w:rPr>
          <w:rFonts w:hint="cs"/>
          <w:rtl/>
        </w:rPr>
        <w:t>.</w:t>
      </w:r>
      <w:r w:rsidR="005A78E8">
        <w:rPr>
          <w:rFonts w:hint="cs"/>
          <w:rtl/>
        </w:rPr>
        <w:t xml:space="preserve"> שינוי זה </w:t>
      </w:r>
      <w:r w:rsidR="005F0409">
        <w:rPr>
          <w:rFonts w:hint="cs"/>
          <w:rtl/>
        </w:rPr>
        <w:t xml:space="preserve">יתרום </w:t>
      </w:r>
      <w:r w:rsidR="00B229E7">
        <w:rPr>
          <w:rFonts w:hint="cs"/>
          <w:rtl/>
        </w:rPr>
        <w:t xml:space="preserve">גם </w:t>
      </w:r>
      <w:r w:rsidR="005A78E8">
        <w:rPr>
          <w:rFonts w:hint="cs"/>
          <w:rtl/>
        </w:rPr>
        <w:t>לצמצום</w:t>
      </w:r>
      <w:r w:rsidR="005A78E8" w:rsidRPr="00AB41FF">
        <w:rPr>
          <w:rtl/>
        </w:rPr>
        <w:t xml:space="preserve"> </w:t>
      </w:r>
      <w:r w:rsidR="006F03E3">
        <w:rPr>
          <w:rFonts w:hint="cs"/>
          <w:rtl/>
        </w:rPr>
        <w:t>ב</w:t>
      </w:r>
      <w:r w:rsidR="005A78E8">
        <w:rPr>
          <w:rFonts w:hint="cs"/>
          <w:rtl/>
        </w:rPr>
        <w:t>עלויות ו</w:t>
      </w:r>
      <w:r w:rsidR="006F03E3">
        <w:rPr>
          <w:rFonts w:hint="cs"/>
          <w:rtl/>
        </w:rPr>
        <w:t>ב</w:t>
      </w:r>
      <w:r w:rsidR="005A78E8">
        <w:rPr>
          <w:rtl/>
        </w:rPr>
        <w:t>הליכים בירוקרטיים ש</w:t>
      </w:r>
      <w:r w:rsidR="005A78E8">
        <w:rPr>
          <w:rFonts w:hint="cs"/>
          <w:rtl/>
        </w:rPr>
        <w:t>אינם</w:t>
      </w:r>
      <w:r w:rsidR="005A78E8">
        <w:rPr>
          <w:rtl/>
        </w:rPr>
        <w:t xml:space="preserve"> </w:t>
      </w:r>
      <w:r w:rsidR="005A78E8">
        <w:rPr>
          <w:rFonts w:hint="cs"/>
          <w:rtl/>
        </w:rPr>
        <w:t xml:space="preserve">הכרחיים, ואף </w:t>
      </w:r>
      <w:r w:rsidR="005F0409">
        <w:rPr>
          <w:rFonts w:hint="cs"/>
          <w:rtl/>
        </w:rPr>
        <w:t xml:space="preserve">יפחית </w:t>
      </w:r>
      <w:r w:rsidR="005A78E8">
        <w:rPr>
          <w:rFonts w:hint="cs"/>
          <w:rtl/>
        </w:rPr>
        <w:t>קשיים מיותרים העומדים בדרכם של המבקשים.</w:t>
      </w:r>
    </w:p>
    <w:p w14:paraId="787331B2" w14:textId="1D5ED785" w:rsidR="009F1533" w:rsidRDefault="009F1533" w:rsidP="006F03E3">
      <w:pPr>
        <w:pStyle w:val="Hesber"/>
        <w:rPr>
          <w:rtl/>
        </w:rPr>
      </w:pPr>
      <w:r>
        <w:rPr>
          <w:rFonts w:hint="cs"/>
          <w:rtl/>
        </w:rPr>
        <w:t>בנוסף, לאור שינוי הליך התביעה</w:t>
      </w:r>
      <w:r w:rsidR="000A7188">
        <w:rPr>
          <w:rFonts w:hint="cs"/>
          <w:rtl/>
        </w:rPr>
        <w:t>,</w:t>
      </w:r>
      <w:r w:rsidR="00B76DEE">
        <w:rPr>
          <w:rFonts w:hint="cs"/>
          <w:rtl/>
        </w:rPr>
        <w:t xml:space="preserve"> המתבסס כ</w:t>
      </w:r>
      <w:r>
        <w:rPr>
          <w:rFonts w:hint="cs"/>
          <w:rtl/>
        </w:rPr>
        <w:t>ל כולו על הגשת מסמכים על ידי התובע, מוצע להחמיר בענישה של מי שניצל את השינוי</w:t>
      </w:r>
      <w:r w:rsidR="002472E0">
        <w:rPr>
          <w:rFonts w:hint="cs"/>
          <w:rtl/>
        </w:rPr>
        <w:t xml:space="preserve"> המוצע</w:t>
      </w:r>
      <w:r>
        <w:rPr>
          <w:rFonts w:hint="cs"/>
          <w:rtl/>
        </w:rPr>
        <w:t xml:space="preserve"> ומסר מסמכים מטעים</w:t>
      </w:r>
      <w:r w:rsidR="002472E0">
        <w:rPr>
          <w:rFonts w:hint="cs"/>
          <w:rtl/>
        </w:rPr>
        <w:t>, חלקיים או כוזבים לצורך הוכחת זכאותו לקצבה.</w:t>
      </w:r>
    </w:p>
    <w:p w14:paraId="7F6961CB" w14:textId="77777777" w:rsidR="00E13C27" w:rsidRDefault="00E13C27" w:rsidP="00E13C27">
      <w:pPr>
        <w:pStyle w:val="Hesber"/>
        <w:rPr>
          <w:rtl/>
        </w:rPr>
      </w:pPr>
    </w:p>
    <w:p w14:paraId="29A36846" w14:textId="0F1989DE" w:rsidR="0054184E" w:rsidRDefault="0054184E" w:rsidP="00E13C27">
      <w:pPr>
        <w:pStyle w:val="Hesber"/>
        <w:rPr>
          <w:rtl/>
        </w:rPr>
      </w:pPr>
    </w:p>
    <w:p w14:paraId="4E134180" w14:textId="77777777" w:rsidR="0054184E" w:rsidRPr="00D73212" w:rsidRDefault="0054184E" w:rsidP="0054184E">
      <w:pPr>
        <w:pStyle w:val="Hesber"/>
        <w:rPr>
          <w:color w:val="auto"/>
          <w:rtl/>
          <w:lang w:eastAsia="en-US"/>
        </w:rPr>
      </w:pPr>
      <w:r w:rsidRPr="00D73212">
        <w:rPr>
          <w:color w:val="auto"/>
          <w:rtl/>
          <w:lang w:eastAsia="en-US"/>
        </w:rPr>
        <w:t>---------------------------------</w:t>
      </w:r>
    </w:p>
    <w:p w14:paraId="53C4B6B9" w14:textId="77777777" w:rsidR="0054184E" w:rsidRPr="00D73212" w:rsidRDefault="0054184E" w:rsidP="0054184E">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3CA2AE46" w14:textId="77777777" w:rsidR="0054184E" w:rsidRPr="00D73212" w:rsidRDefault="0054184E" w:rsidP="0054184E">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48048FD1" w14:textId="77777777" w:rsidR="0054184E" w:rsidRPr="00317312" w:rsidRDefault="0054184E" w:rsidP="0054184E">
      <w:pPr>
        <w:pStyle w:val="Hesber"/>
      </w:pPr>
      <w:r>
        <w:rPr>
          <w:rFonts w:hint="cs"/>
          <w:color w:val="auto"/>
          <w:rtl/>
          <w:lang w:eastAsia="en-US"/>
        </w:rPr>
        <w:t>י' בשבט</w:t>
      </w:r>
      <w:r w:rsidRPr="00D73212">
        <w:rPr>
          <w:color w:val="auto"/>
          <w:rtl/>
          <w:lang w:eastAsia="en-US"/>
        </w:rPr>
        <w:t xml:space="preserve"> </w:t>
      </w:r>
      <w:r w:rsidRPr="00D73212">
        <w:rPr>
          <w:rFonts w:hint="cs"/>
          <w:color w:val="auto"/>
          <w:rtl/>
          <w:lang w:eastAsia="en-US"/>
        </w:rPr>
        <w:t>התשע</w:t>
      </w:r>
      <w:r w:rsidRPr="00D73212">
        <w:rPr>
          <w:color w:val="auto"/>
          <w:rtl/>
          <w:lang w:eastAsia="en-US"/>
        </w:rPr>
        <w:t>"</w:t>
      </w:r>
      <w:r>
        <w:rPr>
          <w:rFonts w:hint="cs"/>
          <w:color w:val="auto"/>
          <w:rtl/>
          <w:lang w:eastAsia="en-US"/>
        </w:rPr>
        <w:t>ז</w:t>
      </w:r>
      <w:r w:rsidRPr="00D73212">
        <w:rPr>
          <w:color w:val="auto"/>
          <w:rtl/>
          <w:lang w:eastAsia="en-US"/>
        </w:rPr>
        <w:t xml:space="preserve"> – </w:t>
      </w:r>
      <w:r>
        <w:rPr>
          <w:rFonts w:hint="cs"/>
          <w:color w:val="auto"/>
          <w:rtl/>
          <w:lang w:eastAsia="en-US"/>
        </w:rPr>
        <w:t>6.2</w:t>
      </w:r>
      <w:r w:rsidRPr="00D73212">
        <w:rPr>
          <w:color w:val="auto"/>
          <w:rtl/>
          <w:lang w:eastAsia="en-US"/>
        </w:rPr>
        <w:t>.</w:t>
      </w:r>
      <w:r>
        <w:rPr>
          <w:rFonts w:hint="cs"/>
          <w:color w:val="auto"/>
          <w:rtl/>
          <w:lang w:eastAsia="en-US"/>
        </w:rPr>
        <w:t>17</w:t>
      </w:r>
    </w:p>
    <w:p w14:paraId="609D56D8" w14:textId="77777777" w:rsidR="0054184E" w:rsidRDefault="0054184E" w:rsidP="00E13C27">
      <w:pPr>
        <w:pStyle w:val="Hesber"/>
        <w:rPr>
          <w:rtl/>
        </w:rPr>
      </w:pPr>
      <w:bookmarkStart w:id="8" w:name="_GoBack"/>
      <w:bookmarkEnd w:id="8"/>
    </w:p>
    <w:p w14:paraId="50E43A74" w14:textId="77777777" w:rsidR="0054184E" w:rsidRDefault="0054184E" w:rsidP="00E13C27">
      <w:pPr>
        <w:pStyle w:val="Hesber"/>
        <w:rPr>
          <w:rtl/>
        </w:rPr>
      </w:pPr>
    </w:p>
    <w:sectPr w:rsidR="0054184E"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8A69" w14:textId="77777777" w:rsidR="00C24E4B" w:rsidRDefault="00C24E4B">
      <w:r>
        <w:separator/>
      </w:r>
    </w:p>
  </w:endnote>
  <w:endnote w:type="continuationSeparator" w:id="0">
    <w:p w14:paraId="318F26FB" w14:textId="77777777" w:rsidR="00C24E4B" w:rsidRDefault="00C24E4B">
      <w:r>
        <w:continuationSeparator/>
      </w:r>
    </w:p>
  </w:endnote>
  <w:endnote w:type="continuationNotice" w:id="1">
    <w:p w14:paraId="6BE48FD5" w14:textId="77777777" w:rsidR="00C24E4B" w:rsidRDefault="00C24E4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C24E4B" w:rsidRDefault="00C24E4B"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C24E4B" w:rsidRDefault="00C24E4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C24E4B" w:rsidRDefault="00C24E4B"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54184E">
      <w:rPr>
        <w:rStyle w:val="ab"/>
        <w:noProof/>
        <w:rtl/>
      </w:rPr>
      <w:t>2</w:t>
    </w:r>
    <w:r>
      <w:rPr>
        <w:rStyle w:val="ab"/>
        <w:rtl/>
      </w:rPr>
      <w:fldChar w:fldCharType="end"/>
    </w:r>
  </w:p>
  <w:p w14:paraId="7F6961D8" w14:textId="77777777" w:rsidR="00C24E4B" w:rsidRDefault="00C24E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B9F2" w14:textId="77777777" w:rsidR="00C24E4B" w:rsidRDefault="00C24E4B">
      <w:r>
        <w:separator/>
      </w:r>
    </w:p>
  </w:footnote>
  <w:footnote w:type="continuationSeparator" w:id="0">
    <w:p w14:paraId="3DB92342" w14:textId="77777777" w:rsidR="00C24E4B" w:rsidRDefault="00C24E4B">
      <w:r>
        <w:continuationSeparator/>
      </w:r>
    </w:p>
  </w:footnote>
  <w:footnote w:type="continuationNotice" w:id="1">
    <w:p w14:paraId="16009878" w14:textId="77777777" w:rsidR="00C24E4B" w:rsidRDefault="00C24E4B"/>
  </w:footnote>
  <w:footnote w:id="2">
    <w:p w14:paraId="726E0988" w14:textId="77777777" w:rsidR="005A78E8" w:rsidRDefault="005A78E8" w:rsidP="005A78E8">
      <w:pPr>
        <w:pStyle w:val="a4"/>
      </w:pPr>
      <w:r>
        <w:rPr>
          <w:rStyle w:val="a6"/>
        </w:rPr>
        <w:footnoteRef/>
      </w:r>
      <w:r>
        <w:rPr>
          <w:rtl/>
        </w:rPr>
        <w:t xml:space="preserve"> ס"ח התשנ"ה, עמ' 210.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B5110"/>
    <w:multiLevelType w:val="hybridMultilevel"/>
    <w:tmpl w:val="36C4882E"/>
    <w:lvl w:ilvl="0" w:tplc="1B34F2AA">
      <w:start w:val="2"/>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F0316B"/>
    <w:multiLevelType w:val="hybridMultilevel"/>
    <w:tmpl w:val="96C0F0B8"/>
    <w:lvl w:ilvl="0" w:tplc="5D307276">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A68B8"/>
    <w:multiLevelType w:val="hybridMultilevel"/>
    <w:tmpl w:val="B7A49FF0"/>
    <w:lvl w:ilvl="0" w:tplc="002AA72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3635C"/>
    <w:multiLevelType w:val="hybridMultilevel"/>
    <w:tmpl w:val="19762F76"/>
    <w:lvl w:ilvl="0" w:tplc="E5CA3B9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47FDD"/>
    <w:multiLevelType w:val="hybridMultilevel"/>
    <w:tmpl w:val="32C87EEE"/>
    <w:lvl w:ilvl="0" w:tplc="5B9A923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F7CBD"/>
    <w:multiLevelType w:val="hybridMultilevel"/>
    <w:tmpl w:val="CD3CF588"/>
    <w:lvl w:ilvl="0" w:tplc="F3047CF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E31F1"/>
    <w:multiLevelType w:val="hybridMultilevel"/>
    <w:tmpl w:val="7108B4BA"/>
    <w:lvl w:ilvl="0" w:tplc="75581EC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476F7"/>
    <w:multiLevelType w:val="hybridMultilevel"/>
    <w:tmpl w:val="49083580"/>
    <w:lvl w:ilvl="0" w:tplc="5196735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F371CE"/>
    <w:multiLevelType w:val="hybridMultilevel"/>
    <w:tmpl w:val="6070469C"/>
    <w:lvl w:ilvl="0" w:tplc="A764343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1"/>
  </w:num>
  <w:num w:numId="14">
    <w:abstractNumId w:val="22"/>
  </w:num>
  <w:num w:numId="15">
    <w:abstractNumId w:val="15"/>
  </w:num>
  <w:num w:numId="16">
    <w:abstractNumId w:val="17"/>
  </w:num>
  <w:num w:numId="17">
    <w:abstractNumId w:val="16"/>
  </w:num>
  <w:num w:numId="18">
    <w:abstractNumId w:val="19"/>
  </w:num>
  <w:num w:numId="19">
    <w:abstractNumId w:val="14"/>
  </w:num>
  <w:num w:numId="20">
    <w:abstractNumId w:val="18"/>
  </w:num>
  <w:num w:numId="21">
    <w:abstractNumId w:val="20"/>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544"/>
    <w:rsid w:val="00015B27"/>
    <w:rsid w:val="00032CE8"/>
    <w:rsid w:val="00044DFD"/>
    <w:rsid w:val="00063A3E"/>
    <w:rsid w:val="00072CAC"/>
    <w:rsid w:val="0007681A"/>
    <w:rsid w:val="000A542E"/>
    <w:rsid w:val="000A7188"/>
    <w:rsid w:val="000C5AC5"/>
    <w:rsid w:val="000D74FD"/>
    <w:rsid w:val="000F28B1"/>
    <w:rsid w:val="00102B6B"/>
    <w:rsid w:val="001052D4"/>
    <w:rsid w:val="0010644B"/>
    <w:rsid w:val="001207F8"/>
    <w:rsid w:val="00121924"/>
    <w:rsid w:val="001279A8"/>
    <w:rsid w:val="00136802"/>
    <w:rsid w:val="0014195F"/>
    <w:rsid w:val="00144561"/>
    <w:rsid w:val="00152609"/>
    <w:rsid w:val="00153E1B"/>
    <w:rsid w:val="00165E43"/>
    <w:rsid w:val="00180DFE"/>
    <w:rsid w:val="001851E8"/>
    <w:rsid w:val="001A0623"/>
    <w:rsid w:val="001A65A0"/>
    <w:rsid w:val="001B4EB9"/>
    <w:rsid w:val="001C23B0"/>
    <w:rsid w:val="001D7AAF"/>
    <w:rsid w:val="00201277"/>
    <w:rsid w:val="00203A7F"/>
    <w:rsid w:val="0021633A"/>
    <w:rsid w:val="002200A1"/>
    <w:rsid w:val="00224A3B"/>
    <w:rsid w:val="00231E71"/>
    <w:rsid w:val="00235D94"/>
    <w:rsid w:val="002362BF"/>
    <w:rsid w:val="00241B97"/>
    <w:rsid w:val="002425D1"/>
    <w:rsid w:val="00245294"/>
    <w:rsid w:val="00246756"/>
    <w:rsid w:val="002472E0"/>
    <w:rsid w:val="00251E58"/>
    <w:rsid w:val="00254605"/>
    <w:rsid w:val="00266D86"/>
    <w:rsid w:val="002728B4"/>
    <w:rsid w:val="0027600C"/>
    <w:rsid w:val="00276C64"/>
    <w:rsid w:val="00292712"/>
    <w:rsid w:val="002A487D"/>
    <w:rsid w:val="002A6D26"/>
    <w:rsid w:val="002C2E29"/>
    <w:rsid w:val="002C3041"/>
    <w:rsid w:val="002D1EE3"/>
    <w:rsid w:val="002F1D80"/>
    <w:rsid w:val="002F6870"/>
    <w:rsid w:val="003232A2"/>
    <w:rsid w:val="00325C14"/>
    <w:rsid w:val="0032686B"/>
    <w:rsid w:val="0036422C"/>
    <w:rsid w:val="003710F6"/>
    <w:rsid w:val="00376598"/>
    <w:rsid w:val="00386E88"/>
    <w:rsid w:val="00396585"/>
    <w:rsid w:val="003A280A"/>
    <w:rsid w:val="003C0A80"/>
    <w:rsid w:val="003D516A"/>
    <w:rsid w:val="003D6E38"/>
    <w:rsid w:val="003D74A0"/>
    <w:rsid w:val="004033D8"/>
    <w:rsid w:val="004073F0"/>
    <w:rsid w:val="00410ED4"/>
    <w:rsid w:val="00412A37"/>
    <w:rsid w:val="00412A7D"/>
    <w:rsid w:val="00416B4D"/>
    <w:rsid w:val="00417CFC"/>
    <w:rsid w:val="004261DA"/>
    <w:rsid w:val="00427658"/>
    <w:rsid w:val="004458F7"/>
    <w:rsid w:val="00453B4C"/>
    <w:rsid w:val="00462DAF"/>
    <w:rsid w:val="00486AF6"/>
    <w:rsid w:val="00494185"/>
    <w:rsid w:val="004A06DC"/>
    <w:rsid w:val="004B24ED"/>
    <w:rsid w:val="004B6625"/>
    <w:rsid w:val="004D2D82"/>
    <w:rsid w:val="004D3876"/>
    <w:rsid w:val="004D3FC9"/>
    <w:rsid w:val="004E4552"/>
    <w:rsid w:val="004E6CDF"/>
    <w:rsid w:val="00521B20"/>
    <w:rsid w:val="00523B05"/>
    <w:rsid w:val="0054184E"/>
    <w:rsid w:val="00553C9D"/>
    <w:rsid w:val="00562A66"/>
    <w:rsid w:val="00576DB6"/>
    <w:rsid w:val="005A16D9"/>
    <w:rsid w:val="005A254D"/>
    <w:rsid w:val="005A78E8"/>
    <w:rsid w:val="005B064E"/>
    <w:rsid w:val="005B7833"/>
    <w:rsid w:val="005D51AE"/>
    <w:rsid w:val="005E3D24"/>
    <w:rsid w:val="005E5C9C"/>
    <w:rsid w:val="005F0409"/>
    <w:rsid w:val="00602363"/>
    <w:rsid w:val="0062006A"/>
    <w:rsid w:val="0062519C"/>
    <w:rsid w:val="0062674B"/>
    <w:rsid w:val="006363B2"/>
    <w:rsid w:val="00644940"/>
    <w:rsid w:val="00652079"/>
    <w:rsid w:val="006818A9"/>
    <w:rsid w:val="0068458B"/>
    <w:rsid w:val="00695D29"/>
    <w:rsid w:val="006A2D81"/>
    <w:rsid w:val="006C1D0D"/>
    <w:rsid w:val="006F03E3"/>
    <w:rsid w:val="006F1CC3"/>
    <w:rsid w:val="0070601E"/>
    <w:rsid w:val="00712C72"/>
    <w:rsid w:val="00735FE9"/>
    <w:rsid w:val="00763CAA"/>
    <w:rsid w:val="00765F66"/>
    <w:rsid w:val="007679BC"/>
    <w:rsid w:val="0078664F"/>
    <w:rsid w:val="00795FE9"/>
    <w:rsid w:val="007B1FEF"/>
    <w:rsid w:val="007C3FA6"/>
    <w:rsid w:val="007D585A"/>
    <w:rsid w:val="007D5A12"/>
    <w:rsid w:val="007D6945"/>
    <w:rsid w:val="007E4478"/>
    <w:rsid w:val="007E59F9"/>
    <w:rsid w:val="00806CE8"/>
    <w:rsid w:val="008075B7"/>
    <w:rsid w:val="00810BCD"/>
    <w:rsid w:val="00812C98"/>
    <w:rsid w:val="00814D92"/>
    <w:rsid w:val="00831145"/>
    <w:rsid w:val="0083181D"/>
    <w:rsid w:val="00843EB2"/>
    <w:rsid w:val="00865572"/>
    <w:rsid w:val="00871E5F"/>
    <w:rsid w:val="00874BBC"/>
    <w:rsid w:val="00876C1E"/>
    <w:rsid w:val="00892135"/>
    <w:rsid w:val="00895449"/>
    <w:rsid w:val="00897879"/>
    <w:rsid w:val="008A6870"/>
    <w:rsid w:val="008C2DDC"/>
    <w:rsid w:val="008C7516"/>
    <w:rsid w:val="008E4B10"/>
    <w:rsid w:val="008E6EC7"/>
    <w:rsid w:val="008F0D63"/>
    <w:rsid w:val="008F1308"/>
    <w:rsid w:val="008F1C66"/>
    <w:rsid w:val="008F2C35"/>
    <w:rsid w:val="008F60C3"/>
    <w:rsid w:val="008F6665"/>
    <w:rsid w:val="00904591"/>
    <w:rsid w:val="00905E5F"/>
    <w:rsid w:val="0091204F"/>
    <w:rsid w:val="009203DB"/>
    <w:rsid w:val="00920E3E"/>
    <w:rsid w:val="00923CD4"/>
    <w:rsid w:val="00930EFE"/>
    <w:rsid w:val="00943386"/>
    <w:rsid w:val="00943415"/>
    <w:rsid w:val="009456B6"/>
    <w:rsid w:val="00953877"/>
    <w:rsid w:val="00956BCC"/>
    <w:rsid w:val="00957589"/>
    <w:rsid w:val="00963396"/>
    <w:rsid w:val="00966D06"/>
    <w:rsid w:val="0097022F"/>
    <w:rsid w:val="0098028F"/>
    <w:rsid w:val="00982412"/>
    <w:rsid w:val="00983A8D"/>
    <w:rsid w:val="009A0DB8"/>
    <w:rsid w:val="009A6E2A"/>
    <w:rsid w:val="009A7257"/>
    <w:rsid w:val="009D02CE"/>
    <w:rsid w:val="009D6E0A"/>
    <w:rsid w:val="009E01FE"/>
    <w:rsid w:val="009E1E33"/>
    <w:rsid w:val="009E73B9"/>
    <w:rsid w:val="009F06DE"/>
    <w:rsid w:val="009F1533"/>
    <w:rsid w:val="00A14672"/>
    <w:rsid w:val="00A26BD6"/>
    <w:rsid w:val="00A443CF"/>
    <w:rsid w:val="00A6291E"/>
    <w:rsid w:val="00A6611D"/>
    <w:rsid w:val="00A82CB7"/>
    <w:rsid w:val="00A942C1"/>
    <w:rsid w:val="00AA2F03"/>
    <w:rsid w:val="00AB70F3"/>
    <w:rsid w:val="00AC36F7"/>
    <w:rsid w:val="00AC63A4"/>
    <w:rsid w:val="00AD239E"/>
    <w:rsid w:val="00AF5169"/>
    <w:rsid w:val="00AF7D61"/>
    <w:rsid w:val="00B10265"/>
    <w:rsid w:val="00B16A99"/>
    <w:rsid w:val="00B21211"/>
    <w:rsid w:val="00B229E7"/>
    <w:rsid w:val="00B22D9A"/>
    <w:rsid w:val="00B35784"/>
    <w:rsid w:val="00B505AB"/>
    <w:rsid w:val="00B54F37"/>
    <w:rsid w:val="00B6136E"/>
    <w:rsid w:val="00B6160D"/>
    <w:rsid w:val="00B733A7"/>
    <w:rsid w:val="00B75C91"/>
    <w:rsid w:val="00B76DEE"/>
    <w:rsid w:val="00B92956"/>
    <w:rsid w:val="00B975AD"/>
    <w:rsid w:val="00BC45FB"/>
    <w:rsid w:val="00BF148D"/>
    <w:rsid w:val="00BF3FE6"/>
    <w:rsid w:val="00BF601F"/>
    <w:rsid w:val="00C10B83"/>
    <w:rsid w:val="00C179CB"/>
    <w:rsid w:val="00C23B1A"/>
    <w:rsid w:val="00C24E4B"/>
    <w:rsid w:val="00C310EB"/>
    <w:rsid w:val="00C366EC"/>
    <w:rsid w:val="00C51CFD"/>
    <w:rsid w:val="00C9176A"/>
    <w:rsid w:val="00CD6722"/>
    <w:rsid w:val="00CF1AA2"/>
    <w:rsid w:val="00D17774"/>
    <w:rsid w:val="00D2508F"/>
    <w:rsid w:val="00D330FC"/>
    <w:rsid w:val="00D63620"/>
    <w:rsid w:val="00D8410D"/>
    <w:rsid w:val="00D867D7"/>
    <w:rsid w:val="00DB1FC4"/>
    <w:rsid w:val="00DB7060"/>
    <w:rsid w:val="00DC39EF"/>
    <w:rsid w:val="00DE3153"/>
    <w:rsid w:val="00E06736"/>
    <w:rsid w:val="00E13C27"/>
    <w:rsid w:val="00E33BBD"/>
    <w:rsid w:val="00E374F2"/>
    <w:rsid w:val="00E45103"/>
    <w:rsid w:val="00E5368A"/>
    <w:rsid w:val="00E55A60"/>
    <w:rsid w:val="00E62778"/>
    <w:rsid w:val="00E63D38"/>
    <w:rsid w:val="00E665B9"/>
    <w:rsid w:val="00E83BE9"/>
    <w:rsid w:val="00EA01E6"/>
    <w:rsid w:val="00EA3DE8"/>
    <w:rsid w:val="00EA6FF8"/>
    <w:rsid w:val="00EA758F"/>
    <w:rsid w:val="00ED4A6F"/>
    <w:rsid w:val="00EF3A3A"/>
    <w:rsid w:val="00F00DC1"/>
    <w:rsid w:val="00F03C37"/>
    <w:rsid w:val="00F3548F"/>
    <w:rsid w:val="00F54A63"/>
    <w:rsid w:val="00F628D6"/>
    <w:rsid w:val="00F64CE6"/>
    <w:rsid w:val="00F67051"/>
    <w:rsid w:val="00F767B1"/>
    <w:rsid w:val="00F86A1E"/>
    <w:rsid w:val="00F94E97"/>
    <w:rsid w:val="00FA5543"/>
    <w:rsid w:val="00FA5E88"/>
    <w:rsid w:val="00FB50D9"/>
    <w:rsid w:val="00FE4D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E7CC2A52-7C30-40EF-A06A-B08F5CE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5B7"/>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8075B7"/>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8075B7"/>
    <w:rPr>
      <w:sz w:val="36"/>
      <w:szCs w:val="52"/>
    </w:rPr>
  </w:style>
  <w:style w:type="paragraph" w:customStyle="1" w:styleId="Cover3-Haknesset">
    <w:name w:val="Cover 3-Haknesset"/>
    <w:basedOn w:val="Cover1-Reshumot"/>
    <w:rsid w:val="008075B7"/>
    <w:rPr>
      <w:b/>
      <w:bCs/>
      <w:spacing w:val="60"/>
    </w:rPr>
  </w:style>
  <w:style w:type="paragraph" w:customStyle="1" w:styleId="Cover4-Date">
    <w:name w:val="Cover 4-Date"/>
    <w:basedOn w:val="a"/>
    <w:rsid w:val="008075B7"/>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8075B7"/>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8075B7"/>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8075B7"/>
    <w:pPr>
      <w:spacing w:before="120" w:after="120"/>
    </w:pPr>
    <w:rPr>
      <w:color w:val="FF0000"/>
      <w:w w:val="80"/>
    </w:rPr>
  </w:style>
  <w:style w:type="paragraph" w:styleId="a3">
    <w:name w:val="endnote text"/>
    <w:basedOn w:val="a"/>
    <w:semiHidden/>
    <w:rsid w:val="008075B7"/>
    <w:pPr>
      <w:ind w:left="227" w:hanging="227"/>
    </w:pPr>
    <w:rPr>
      <w:sz w:val="14"/>
      <w:szCs w:val="22"/>
    </w:rPr>
  </w:style>
  <w:style w:type="paragraph" w:customStyle="1" w:styleId="TableText">
    <w:name w:val="Table Text"/>
    <w:basedOn w:val="a"/>
    <w:rsid w:val="008075B7"/>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8075B7"/>
  </w:style>
  <w:style w:type="paragraph" w:customStyle="1" w:styleId="TableBlock">
    <w:name w:val="Table Block"/>
    <w:basedOn w:val="TableText"/>
    <w:rsid w:val="008075B7"/>
    <w:pPr>
      <w:ind w:right="0"/>
      <w:jc w:val="both"/>
    </w:pPr>
  </w:style>
  <w:style w:type="paragraph" w:customStyle="1" w:styleId="TableHead">
    <w:name w:val="Table Head"/>
    <w:basedOn w:val="TableText"/>
    <w:rsid w:val="008075B7"/>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8075B7"/>
  </w:style>
  <w:style w:type="paragraph" w:customStyle="1" w:styleId="Hesber">
    <w:name w:val="Hesber"/>
    <w:basedOn w:val="a"/>
    <w:rsid w:val="008075B7"/>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rsid w:val="008075B7"/>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basedOn w:val="a0"/>
    <w:rsid w:val="008075B7"/>
    <w:rPr>
      <w:vertAlign w:val="superscript"/>
    </w:rPr>
  </w:style>
  <w:style w:type="paragraph" w:customStyle="1" w:styleId="HesberHeading">
    <w:name w:val="Hesber Heading"/>
    <w:basedOn w:val="Hesber"/>
    <w:rsid w:val="008075B7"/>
    <w:pPr>
      <w:tabs>
        <w:tab w:val="left" w:pos="624"/>
        <w:tab w:val="left" w:pos="1247"/>
      </w:tabs>
      <w:ind w:firstLine="0"/>
    </w:pPr>
    <w:rPr>
      <w:b/>
      <w:bCs/>
    </w:rPr>
  </w:style>
  <w:style w:type="paragraph" w:customStyle="1" w:styleId="HesberWriters">
    <w:name w:val="Hesber Writers"/>
    <w:basedOn w:val="Hesber"/>
    <w:rsid w:val="008075B7"/>
    <w:pPr>
      <w:spacing w:before="120" w:after="6000"/>
      <w:ind w:left="1418" w:firstLine="0"/>
      <w:jc w:val="right"/>
    </w:pPr>
    <w:rPr>
      <w:b/>
      <w:bCs/>
    </w:rPr>
  </w:style>
  <w:style w:type="paragraph" w:customStyle="1" w:styleId="Hesber1st">
    <w:name w:val="Hesber 1st"/>
    <w:basedOn w:val="Hesber"/>
    <w:rsid w:val="008075B7"/>
    <w:pPr>
      <w:tabs>
        <w:tab w:val="left" w:pos="680"/>
        <w:tab w:val="left" w:pos="1020"/>
      </w:tabs>
      <w:ind w:firstLine="0"/>
    </w:pPr>
  </w:style>
  <w:style w:type="character" w:styleId="a7">
    <w:name w:val="endnote reference"/>
    <w:basedOn w:val="a0"/>
    <w:semiHidden/>
    <w:rsid w:val="008075B7"/>
    <w:rPr>
      <w:vertAlign w:val="superscript"/>
    </w:rPr>
  </w:style>
  <w:style w:type="paragraph" w:customStyle="1" w:styleId="TableBlockOutdent">
    <w:name w:val="Table BlockOutdent"/>
    <w:basedOn w:val="TableBlock"/>
    <w:rsid w:val="008075B7"/>
    <w:pPr>
      <w:ind w:left="624" w:hanging="624"/>
    </w:pPr>
  </w:style>
  <w:style w:type="paragraph" w:styleId="a8">
    <w:name w:val="header"/>
    <w:basedOn w:val="a"/>
    <w:rsid w:val="008075B7"/>
    <w:pPr>
      <w:tabs>
        <w:tab w:val="center" w:pos="4153"/>
        <w:tab w:val="right" w:pos="8306"/>
      </w:tabs>
    </w:pPr>
  </w:style>
  <w:style w:type="paragraph" w:styleId="a9">
    <w:name w:val="footer"/>
    <w:basedOn w:val="a"/>
    <w:rsid w:val="008075B7"/>
    <w:pPr>
      <w:tabs>
        <w:tab w:val="center" w:pos="4153"/>
        <w:tab w:val="right" w:pos="8306"/>
      </w:tabs>
    </w:pPr>
  </w:style>
  <w:style w:type="paragraph" w:customStyle="1" w:styleId="HeadDivreiHesber">
    <w:name w:val="Head DivreiHesber"/>
    <w:basedOn w:val="a"/>
    <w:rsid w:val="008075B7"/>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8075B7"/>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8075B7"/>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link w:val="a4"/>
    <w:locked/>
    <w:rsid w:val="005A78E8"/>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E08F266-8B36-404C-9DE4-892D15835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398EF98B-C621-426B-BF14-1822C57B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3</Pages>
  <Words>807</Words>
  <Characters>4035</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אילת וולברג</cp:lastModifiedBy>
  <cp:revision>82</cp:revision>
  <cp:lastPrinted>2017-02-05T07:43:00Z</cp:lastPrinted>
  <dcterms:created xsi:type="dcterms:W3CDTF">2015-04-20T09:58:00Z</dcterms:created>
  <dcterms:modified xsi:type="dcterms:W3CDTF">2017-02-05T07:43:00Z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2011577</vt:r8>
  </property>
</Properties>
</file>