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2011617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A" w14:textId="463F9F84" w:rsidR="00E13C27" w:rsidRPr="000409CF" w:rsidRDefault="008F6665" w:rsidP="000409CF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מיכאל מלכיאלי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ישראל אייכלר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יגאל גואטה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אכרם חסון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חמד עמאר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עודד פורר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דוד ביטן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מנחם אליעזר מוזס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מסעוד </w:t>
      </w:r>
      <w:proofErr w:type="spellStart"/>
      <w:r>
        <w:rPr>
          <w:rFonts w:hint="cs"/>
          <w:b/>
          <w:bCs/>
          <w:rtl/>
        </w:rPr>
        <w:t>גנאים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אורי </w:t>
      </w:r>
      <w:proofErr w:type="spellStart"/>
      <w:r>
        <w:rPr>
          <w:rFonts w:hint="cs"/>
          <w:b/>
          <w:bCs/>
          <w:rtl/>
        </w:rPr>
        <w:t>מקלב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מרגי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אשר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יוליה </w:t>
      </w:r>
      <w:proofErr w:type="spellStart"/>
      <w:r>
        <w:rPr>
          <w:rFonts w:hint="cs"/>
          <w:b/>
          <w:bCs/>
          <w:rtl/>
        </w:rPr>
        <w:t>מלינובסקי</w:t>
      </w:r>
      <w:bookmarkStart w:id="4" w:name="LGS_Join_List"/>
      <w:bookmarkEnd w:id="3"/>
      <w:bookmarkEnd w:id="4"/>
      <w:proofErr w:type="spellEnd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C" w14:textId="0A056EFE" w:rsidR="00E13C27" w:rsidRDefault="00904591" w:rsidP="003621CC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5" w:name="Private_Number"/>
      <w:r>
        <w:rPr>
          <w:rFonts w:hint="cs"/>
          <w:rtl/>
        </w:rPr>
        <w:t>פ/3828/20</w:t>
      </w:r>
      <w:bookmarkEnd w:id="5"/>
    </w:p>
    <w:p w14:paraId="7314DA49" w14:textId="40C51325" w:rsidR="005E59E9" w:rsidRDefault="005E59E9" w:rsidP="00090FB4">
      <w:pPr>
        <w:pStyle w:val="HeadHatzaotHok"/>
        <w:rPr>
          <w:rtl/>
        </w:rPr>
      </w:pPr>
      <w:bookmarkStart w:id="6" w:name="LGS_Subject"/>
      <w:r>
        <w:rPr>
          <w:rFonts w:hint="cs"/>
          <w:rtl/>
        </w:rPr>
        <w:t xml:space="preserve">הצעת חוק לתיקון פקודת התעבורה (רכב העומד במקום המשמש את הציבור), </w:t>
      </w:r>
      <w:proofErr w:type="spellStart"/>
      <w:r>
        <w:rPr>
          <w:rFonts w:hint="cs"/>
          <w:rtl/>
        </w:rPr>
        <w:t>התשע"ז</w:t>
      </w:r>
      <w:proofErr w:type="spellEnd"/>
      <w:r w:rsidR="00090FB4">
        <w:rPr>
          <w:rFonts w:hint="eastAsia"/>
          <w:rtl/>
        </w:rPr>
        <w:t>–</w:t>
      </w:r>
      <w:r>
        <w:rPr>
          <w:rFonts w:hint="cs"/>
          <w:rtl/>
        </w:rPr>
        <w:t>2017</w:t>
      </w:r>
      <w:bookmarkEnd w:id="6"/>
    </w:p>
    <w:tbl>
      <w:tblPr>
        <w:bidiVisual/>
        <w:tblW w:w="958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24"/>
        <w:gridCol w:w="7088"/>
      </w:tblGrid>
      <w:tr w:rsidR="005E59E9" w:rsidRPr="00B12345" w14:paraId="69230C2D" w14:textId="77777777" w:rsidTr="00B87567">
        <w:trPr>
          <w:cantSplit/>
        </w:trPr>
        <w:tc>
          <w:tcPr>
            <w:tcW w:w="1869" w:type="dxa"/>
          </w:tcPr>
          <w:p w14:paraId="020706A1" w14:textId="1270B2FB" w:rsidR="005E59E9" w:rsidRPr="00880078" w:rsidRDefault="005E59E9" w:rsidP="00E421ED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תיקון סעיף </w:t>
            </w:r>
            <w:r w:rsidR="0049279A">
              <w:rPr>
                <w:rFonts w:hint="cs"/>
                <w:rtl/>
              </w:rPr>
              <w:t>62</w:t>
            </w:r>
          </w:p>
        </w:tc>
        <w:tc>
          <w:tcPr>
            <w:tcW w:w="624" w:type="dxa"/>
          </w:tcPr>
          <w:p w14:paraId="6295F560" w14:textId="77777777" w:rsidR="005E59E9" w:rsidRPr="00880078" w:rsidRDefault="005E59E9" w:rsidP="00B87567">
            <w:pPr>
              <w:pStyle w:val="TableText"/>
              <w:keepLines w:val="0"/>
              <w:textAlignment w:val="auto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088" w:type="dxa"/>
          </w:tcPr>
          <w:p w14:paraId="2DF34822" w14:textId="2A4F7F37" w:rsidR="005E59E9" w:rsidRPr="00B12345" w:rsidRDefault="005E59E9" w:rsidP="00090FB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בפקודת התעבורה</w:t>
            </w:r>
            <w:r w:rsidR="00512FC0" w:rsidRPr="00E421ED">
              <w:rPr>
                <w:rStyle w:val="a5"/>
                <w:szCs w:val="20"/>
                <w:rtl/>
              </w:rPr>
              <w:footnoteReference w:id="2"/>
            </w:r>
            <w:r w:rsidR="00090FB4">
              <w:rPr>
                <w:rFonts w:hint="cs"/>
                <w:rtl/>
              </w:rPr>
              <w:t xml:space="preserve"> (להלן </w:t>
            </w:r>
            <w:r w:rsidR="00090FB4">
              <w:rPr>
                <w:rtl/>
              </w:rPr>
              <w:t>–</w:t>
            </w:r>
            <w:r w:rsidR="00090FB4">
              <w:rPr>
                <w:rFonts w:hint="cs"/>
                <w:rtl/>
              </w:rPr>
              <w:t xml:space="preserve"> הפקודה)</w:t>
            </w:r>
            <w:r>
              <w:rPr>
                <w:rFonts w:hint="cs"/>
                <w:rtl/>
              </w:rPr>
              <w:t xml:space="preserve">, בסעיף </w:t>
            </w:r>
            <w:r w:rsidR="0049279A">
              <w:rPr>
                <w:rFonts w:hint="cs"/>
                <w:rtl/>
              </w:rPr>
              <w:t>62</w:t>
            </w:r>
            <w:r>
              <w:rPr>
                <w:rFonts w:hint="cs"/>
                <w:rtl/>
              </w:rPr>
              <w:t xml:space="preserve">, אחרי </w:t>
            </w:r>
            <w:r w:rsidR="00512FC0">
              <w:rPr>
                <w:rFonts w:hint="cs"/>
                <w:rtl/>
              </w:rPr>
              <w:t xml:space="preserve">פסקה 11 יבוא: </w:t>
            </w:r>
          </w:p>
        </w:tc>
      </w:tr>
      <w:tr w:rsidR="00512FC0" w:rsidRPr="00B12345" w14:paraId="3D627EF0" w14:textId="77777777" w:rsidTr="00B87567">
        <w:trPr>
          <w:cantSplit/>
        </w:trPr>
        <w:tc>
          <w:tcPr>
            <w:tcW w:w="1869" w:type="dxa"/>
          </w:tcPr>
          <w:p w14:paraId="20255FEA" w14:textId="77777777" w:rsidR="00512FC0" w:rsidRDefault="00512FC0" w:rsidP="0049279A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4DD69F3" w14:textId="77777777" w:rsidR="00512FC0" w:rsidRDefault="00512FC0" w:rsidP="00E421ED">
            <w:pPr>
              <w:pStyle w:val="TableText"/>
              <w:rPr>
                <w:rtl/>
              </w:rPr>
            </w:pPr>
          </w:p>
        </w:tc>
        <w:tc>
          <w:tcPr>
            <w:tcW w:w="7088" w:type="dxa"/>
          </w:tcPr>
          <w:p w14:paraId="4D36763A" w14:textId="74659B4D" w:rsidR="00512FC0" w:rsidRDefault="00512FC0" w:rsidP="00512FC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"(12)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מחנה את רכבו במקום המשמש את הציבור, אף אם אינו דרך, באופן המגביל או החוסם מעבר כלי רכב אחר."</w:t>
            </w:r>
          </w:p>
        </w:tc>
      </w:tr>
      <w:tr w:rsidR="00512FC0" w:rsidRPr="00B12345" w14:paraId="71C30324" w14:textId="77777777" w:rsidTr="00B87567">
        <w:trPr>
          <w:cantSplit/>
        </w:trPr>
        <w:tc>
          <w:tcPr>
            <w:tcW w:w="1869" w:type="dxa"/>
          </w:tcPr>
          <w:p w14:paraId="3FCE80D9" w14:textId="108CE467" w:rsidR="00512FC0" w:rsidRDefault="00512FC0" w:rsidP="0049279A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תיקון סעיף 70א</w:t>
            </w:r>
          </w:p>
        </w:tc>
        <w:tc>
          <w:tcPr>
            <w:tcW w:w="624" w:type="dxa"/>
          </w:tcPr>
          <w:p w14:paraId="7031E350" w14:textId="08230728" w:rsidR="00512FC0" w:rsidRDefault="00512FC0" w:rsidP="00E421ED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088" w:type="dxa"/>
          </w:tcPr>
          <w:p w14:paraId="44EA7623" w14:textId="547663E5" w:rsidR="00512FC0" w:rsidRDefault="00512FC0" w:rsidP="00E421E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 70א</w:t>
            </w:r>
            <w:r w:rsidR="00E421ED">
              <w:rPr>
                <w:rFonts w:hint="cs"/>
                <w:rtl/>
              </w:rPr>
              <w:t>(ב)</w:t>
            </w:r>
            <w:r w:rsidR="00090FB4">
              <w:rPr>
                <w:rFonts w:hint="cs"/>
                <w:rtl/>
              </w:rPr>
              <w:t xml:space="preserve"> לפקודה</w:t>
            </w:r>
            <w:r w:rsidR="00E421ED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אחרי "או בטיחותה" יבוא "ובכלל זה בנסיבות האמורות בסעיף 62(12)"</w:t>
            </w:r>
            <w:r w:rsidR="00E421ED">
              <w:rPr>
                <w:rFonts w:hint="cs"/>
                <w:rtl/>
              </w:rPr>
              <w:t>.</w:t>
            </w:r>
          </w:p>
        </w:tc>
      </w:tr>
    </w:tbl>
    <w:p w14:paraId="1D39D663" w14:textId="77777777" w:rsidR="005E59E9" w:rsidRPr="00B57B45" w:rsidRDefault="005E59E9" w:rsidP="005E59E9">
      <w:pPr>
        <w:pStyle w:val="HeadDivreiHesber"/>
        <w:tabs>
          <w:tab w:val="center" w:pos="4819"/>
        </w:tabs>
        <w:jc w:val="both"/>
        <w:rPr>
          <w:sz w:val="26"/>
          <w:rtl/>
        </w:rPr>
      </w:pPr>
      <w:r w:rsidRPr="00B57B45">
        <w:rPr>
          <w:sz w:val="26"/>
          <w:rtl/>
        </w:rPr>
        <w:tab/>
      </w:r>
      <w:r w:rsidRPr="00B57B45">
        <w:rPr>
          <w:rFonts w:hint="cs"/>
          <w:sz w:val="26"/>
          <w:rtl/>
        </w:rPr>
        <w:t>דברי הסבר</w:t>
      </w:r>
    </w:p>
    <w:p w14:paraId="2E906E9C" w14:textId="51DEBFEB" w:rsidR="005E59E9" w:rsidRPr="00090FB4" w:rsidRDefault="00512FC0" w:rsidP="00D23949">
      <w:pPr>
        <w:pStyle w:val="Hesber"/>
        <w:spacing w:line="240" w:lineRule="auto"/>
        <w:rPr>
          <w:rtl/>
        </w:rPr>
      </w:pPr>
      <w:r w:rsidRPr="00090FB4">
        <w:rPr>
          <w:rFonts w:hint="cs"/>
          <w:rtl/>
        </w:rPr>
        <w:t>התיקון המוצע</w:t>
      </w:r>
      <w:bookmarkStart w:id="7" w:name="_GoBack"/>
      <w:bookmarkEnd w:id="7"/>
      <w:r w:rsidRPr="00090FB4">
        <w:rPr>
          <w:rFonts w:hint="cs"/>
          <w:rtl/>
        </w:rPr>
        <w:t xml:space="preserve"> נועד להסדיר את איסור העצירה, העמדה והחניה של רכב במקומות אסורים לרבות במקרים של חסימת כלי רכב</w:t>
      </w:r>
      <w:r w:rsidR="005453FE" w:rsidRPr="00090FB4">
        <w:rPr>
          <w:rFonts w:hint="cs"/>
          <w:rtl/>
        </w:rPr>
        <w:t xml:space="preserve"> </w:t>
      </w:r>
      <w:r w:rsidR="00090FB4" w:rsidRPr="00090FB4">
        <w:rPr>
          <w:rFonts w:hint="cs"/>
          <w:rtl/>
        </w:rPr>
        <w:t>ב</w:t>
      </w:r>
      <w:r w:rsidR="005453FE" w:rsidRPr="00090FB4">
        <w:rPr>
          <w:rFonts w:hint="cs"/>
          <w:rtl/>
        </w:rPr>
        <w:t>מרחבים שאינם ציבוריים.</w:t>
      </w:r>
    </w:p>
    <w:p w14:paraId="4CDBE3FA" w14:textId="47D322C7" w:rsidR="005453FE" w:rsidRPr="00090FB4" w:rsidRDefault="005453FE" w:rsidP="00023C95">
      <w:pPr>
        <w:pStyle w:val="Hesber"/>
        <w:spacing w:line="240" w:lineRule="auto"/>
        <w:rPr>
          <w:rtl/>
        </w:rPr>
      </w:pPr>
      <w:r w:rsidRPr="00090FB4">
        <w:rPr>
          <w:rFonts w:hint="cs"/>
          <w:rtl/>
        </w:rPr>
        <w:t xml:space="preserve">מוצע </w:t>
      </w:r>
      <w:r w:rsidR="00C239E0" w:rsidRPr="00090FB4">
        <w:rPr>
          <w:rFonts w:hint="cs"/>
          <w:rtl/>
        </w:rPr>
        <w:t>כי העמדת רכב או החנייתו,</w:t>
      </w:r>
      <w:r w:rsidRPr="00090FB4">
        <w:rPr>
          <w:rFonts w:hint="cs"/>
          <w:rtl/>
        </w:rPr>
        <w:t xml:space="preserve"> במקום המשמש את הציבור אף אם אינו דרך, באופן המגביל או החוסם מעבר כלי רכב אחר</w:t>
      </w:r>
      <w:r w:rsidR="00C239E0" w:rsidRPr="00090FB4">
        <w:rPr>
          <w:rFonts w:hint="cs"/>
          <w:rtl/>
        </w:rPr>
        <w:t xml:space="preserve">, תיחשב כעבירת תעבורה שתאפשר </w:t>
      </w:r>
      <w:r w:rsidRPr="00090FB4">
        <w:rPr>
          <w:rFonts w:hint="cs"/>
          <w:rtl/>
        </w:rPr>
        <w:t>לשוטר להפעיל שיקול דעתו ל</w:t>
      </w:r>
      <w:r w:rsidR="00C239E0" w:rsidRPr="00090FB4">
        <w:rPr>
          <w:rFonts w:hint="cs"/>
          <w:rtl/>
        </w:rPr>
        <w:t xml:space="preserve">עניין </w:t>
      </w:r>
      <w:r w:rsidRPr="00090FB4">
        <w:rPr>
          <w:rFonts w:hint="cs"/>
          <w:rtl/>
        </w:rPr>
        <w:t xml:space="preserve">גרירת רכב החוסם מעבר כלי רכב אחר. </w:t>
      </w:r>
    </w:p>
    <w:p w14:paraId="43FE5AA4" w14:textId="77777777" w:rsidR="00023C95" w:rsidRPr="00D73212" w:rsidRDefault="00023C95" w:rsidP="00023C95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0FE81202" w14:textId="77777777" w:rsidR="00023C95" w:rsidRPr="00D73212" w:rsidRDefault="00023C95" w:rsidP="003621CC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550794B1" w14:textId="77777777" w:rsidR="00023C95" w:rsidRPr="00D73212" w:rsidRDefault="00023C95" w:rsidP="003621CC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7F6961CB" w14:textId="66A310EF" w:rsidR="00E13C27" w:rsidRPr="00DF778C" w:rsidRDefault="00023C95" w:rsidP="00942953">
      <w:pPr>
        <w:pStyle w:val="Hesber"/>
        <w:spacing w:line="240" w:lineRule="auto"/>
        <w:rPr>
          <w:rtl/>
        </w:rPr>
      </w:pPr>
      <w:r>
        <w:rPr>
          <w:rFonts w:hint="cs"/>
          <w:color w:val="auto"/>
          <w:rtl/>
          <w:lang w:eastAsia="en-US"/>
        </w:rPr>
        <w:t>י' בשבט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proofErr w:type="spellEnd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6.2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sectPr w:rsidR="00E13C27" w:rsidRPr="00DF778C" w:rsidSect="00B4138B">
      <w:footerReference w:type="even" r:id="rId11"/>
      <w:footerReference w:type="default" r:id="rId12"/>
      <w:pgSz w:w="11907" w:h="16840" w:code="9"/>
      <w:pgMar w:top="1021" w:right="1134" w:bottom="1021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942953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605EA69" w14:textId="6D8E21EF" w:rsidR="00512FC0" w:rsidRDefault="00512FC0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דיני מדינת ישראל, נוסח חדש 7, עמ' 173.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D78AC"/>
    <w:multiLevelType w:val="hybridMultilevel"/>
    <w:tmpl w:val="1D94FB02"/>
    <w:lvl w:ilvl="0" w:tplc="FB0CC766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23C95"/>
    <w:rsid w:val="000409CF"/>
    <w:rsid w:val="00063A3E"/>
    <w:rsid w:val="00072CAC"/>
    <w:rsid w:val="0007681A"/>
    <w:rsid w:val="00090FB4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71FE1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21CC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60C35"/>
    <w:rsid w:val="0049279A"/>
    <w:rsid w:val="004A06DC"/>
    <w:rsid w:val="004B24ED"/>
    <w:rsid w:val="004B6625"/>
    <w:rsid w:val="004D2D82"/>
    <w:rsid w:val="004D3876"/>
    <w:rsid w:val="004E4552"/>
    <w:rsid w:val="004E6CDF"/>
    <w:rsid w:val="00512FC0"/>
    <w:rsid w:val="005453FE"/>
    <w:rsid w:val="00553C9D"/>
    <w:rsid w:val="00562A66"/>
    <w:rsid w:val="005B064E"/>
    <w:rsid w:val="005D51AE"/>
    <w:rsid w:val="005E59E9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2953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388E"/>
    <w:rsid w:val="00B16A99"/>
    <w:rsid w:val="00B21211"/>
    <w:rsid w:val="00B35784"/>
    <w:rsid w:val="00B4138B"/>
    <w:rsid w:val="00B733A7"/>
    <w:rsid w:val="00B75C91"/>
    <w:rsid w:val="00B975AD"/>
    <w:rsid w:val="00BC45FB"/>
    <w:rsid w:val="00BF148D"/>
    <w:rsid w:val="00C239E0"/>
    <w:rsid w:val="00C23B1A"/>
    <w:rsid w:val="00C310EB"/>
    <w:rsid w:val="00C9176A"/>
    <w:rsid w:val="00CF1AA2"/>
    <w:rsid w:val="00D17774"/>
    <w:rsid w:val="00D23949"/>
    <w:rsid w:val="00D63620"/>
    <w:rsid w:val="00D8410D"/>
    <w:rsid w:val="00D867D7"/>
    <w:rsid w:val="00DB7060"/>
    <w:rsid w:val="00DE3153"/>
    <w:rsid w:val="00DF778C"/>
    <w:rsid w:val="00E06736"/>
    <w:rsid w:val="00E13C27"/>
    <w:rsid w:val="00E227EA"/>
    <w:rsid w:val="00E33BBD"/>
    <w:rsid w:val="00E374F2"/>
    <w:rsid w:val="00E421ED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uiPriority w:val="99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ad">
    <w:name w:val="Strong"/>
    <w:basedOn w:val="a0"/>
    <w:qFormat/>
    <w:rsid w:val="00545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E0DF4-7D9B-44EC-90F2-94BDBC62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DF7AD-6294-4175-8A41-6F2068DC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אילת וולברג</cp:lastModifiedBy>
  <cp:revision>17</cp:revision>
  <cp:lastPrinted>2017-02-02T13:01:00Z</cp:lastPrinted>
  <dcterms:created xsi:type="dcterms:W3CDTF">2015-04-20T09:58:00Z</dcterms:created>
  <dcterms:modified xsi:type="dcterms:W3CDTF">2017-02-02T13:03:00Z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2011617</vt:r8>
  </property>
</Properties>
</file>