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2010472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יוזם:</w:t>
      </w:r>
      <w:r>
        <w:tab/>
      </w:r>
      <w:r>
        <w:rPr>
          <w:b/>
          <w:bCs/>
          <w:rtl/>
        </w:rPr>
        <w:t xml:space="preserve">      חבר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מכלוף מיקי זוהר</w:t>
      </w:r>
      <w:bookmarkEnd w:id="3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פ/3681/20</w:t>
      </w:r>
      <w:bookmarkEnd w:id="6"/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F6961AD" w14:textId="180209A3" w:rsidR="00E13C27" w:rsidRPr="00F67051" w:rsidRDefault="00A443CF" w:rsidP="003B70B3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>הצעת חוק לתיקון פקודת מס הכנסה (חשבון השקעה), התשע"ז–</w:t>
      </w:r>
      <w:bookmarkEnd w:id="7"/>
      <w:r w:rsidR="003B70B3">
        <w:rPr>
          <w:rFonts w:hint="cs"/>
          <w:rtl/>
        </w:rPr>
        <w:t>2017</w:t>
      </w:r>
    </w:p>
    <w:p w14:paraId="7F6961AE" w14:textId="77777777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58"/>
        <w:gridCol w:w="566"/>
        <w:gridCol w:w="6522"/>
      </w:tblGrid>
      <w:tr w:rsidR="00411627" w14:paraId="035EEF3D" w14:textId="77777777" w:rsidTr="00D9560F">
        <w:trPr>
          <w:cantSplit/>
          <w:trHeight w:val="60"/>
        </w:trPr>
        <w:tc>
          <w:tcPr>
            <w:tcW w:w="1871" w:type="dxa"/>
          </w:tcPr>
          <w:p w14:paraId="3863FF98" w14:textId="376DF2AC" w:rsidR="00411627" w:rsidRDefault="00411627" w:rsidP="00411627">
            <w:pPr>
              <w:pStyle w:val="TableSideHeading"/>
              <w:keepLines w:val="0"/>
            </w:pPr>
            <w:r>
              <w:rPr>
                <w:rtl/>
              </w:rPr>
              <w:t>תיקון סעיף 88</w:t>
            </w:r>
          </w:p>
        </w:tc>
        <w:tc>
          <w:tcPr>
            <w:tcW w:w="682" w:type="dxa"/>
            <w:gridSpan w:val="2"/>
          </w:tcPr>
          <w:p w14:paraId="6F513EF6" w14:textId="10038C33" w:rsidR="00411627" w:rsidRDefault="00411627" w:rsidP="00411627">
            <w:pPr>
              <w:pStyle w:val="TableText"/>
              <w:keepLines w:val="0"/>
            </w:pPr>
            <w:r>
              <w:rPr>
                <w:rtl/>
              </w:rPr>
              <w:t>1.</w:t>
            </w:r>
          </w:p>
        </w:tc>
        <w:tc>
          <w:tcPr>
            <w:tcW w:w="7088" w:type="dxa"/>
            <w:gridSpan w:val="2"/>
          </w:tcPr>
          <w:p w14:paraId="1AE94DEB" w14:textId="72B601DB" w:rsidR="00411627" w:rsidRPr="00C34DE2" w:rsidRDefault="00FD5CEF" w:rsidP="00D9560F">
            <w:pPr>
              <w:pStyle w:val="TableBlock"/>
              <w:keepLines w:val="0"/>
            </w:pPr>
            <w:r>
              <w:rPr>
                <w:rFonts w:hint="cs"/>
                <w:rtl/>
              </w:rPr>
              <w:t>ב</w:t>
            </w:r>
            <w:r w:rsidR="00411627">
              <w:rPr>
                <w:rtl/>
              </w:rPr>
              <w:t>פקודת מס הכנסה</w:t>
            </w:r>
            <w:r w:rsidR="00411627" w:rsidRPr="00FE5C52">
              <w:rPr>
                <w:rStyle w:val="a7"/>
                <w:rtl/>
              </w:rPr>
              <w:footnoteReference w:id="2"/>
            </w:r>
            <w:r w:rsidR="00411627">
              <w:rPr>
                <w:rtl/>
              </w:rPr>
              <w:t xml:space="preserve"> (להלן – הפקודה</w:t>
            </w:r>
            <w:r w:rsidR="004543E4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>, בסעיף 88</w:t>
            </w:r>
            <w:r w:rsidR="004543E4">
              <w:rPr>
                <w:rFonts w:hint="cs"/>
                <w:rtl/>
              </w:rPr>
              <w:t xml:space="preserve"> </w:t>
            </w:r>
            <w:r w:rsidR="004543E4">
              <w:rPr>
                <w:rFonts w:hint="eastAsia"/>
                <w:rtl/>
              </w:rPr>
              <w:t>–</w:t>
            </w:r>
            <w:r w:rsidR="004543E4">
              <w:rPr>
                <w:rFonts w:hint="cs"/>
                <w:rtl/>
              </w:rPr>
              <w:t xml:space="preserve"> </w:t>
            </w:r>
          </w:p>
        </w:tc>
      </w:tr>
      <w:tr w:rsidR="004543E4" w14:paraId="6F9F480F" w14:textId="77777777" w:rsidTr="004543E4">
        <w:trPr>
          <w:cantSplit/>
          <w:trHeight w:val="60"/>
        </w:trPr>
        <w:tc>
          <w:tcPr>
            <w:tcW w:w="1871" w:type="dxa"/>
          </w:tcPr>
          <w:p w14:paraId="42F6FD47" w14:textId="77777777" w:rsidR="004543E4" w:rsidRDefault="004543E4" w:rsidP="00411627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82" w:type="dxa"/>
            <w:gridSpan w:val="2"/>
          </w:tcPr>
          <w:p w14:paraId="185F69D1" w14:textId="77777777" w:rsidR="004543E4" w:rsidRDefault="004543E4" w:rsidP="00D9560F">
            <w:pPr>
              <w:pStyle w:val="TableText"/>
              <w:rPr>
                <w:rtl/>
              </w:rPr>
            </w:pPr>
          </w:p>
        </w:tc>
        <w:tc>
          <w:tcPr>
            <w:tcW w:w="7088" w:type="dxa"/>
            <w:gridSpan w:val="2"/>
          </w:tcPr>
          <w:p w14:paraId="1F6B3A10" w14:textId="1DAE5D72" w:rsidR="004543E4" w:rsidRDefault="004543E4" w:rsidP="004543E4">
            <w:pPr>
              <w:pStyle w:val="TableBlock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  <w:t>אחרי ההגדרה "בעל מניות מהותי" יבוא:</w:t>
            </w:r>
          </w:p>
        </w:tc>
      </w:tr>
      <w:tr w:rsidR="00842719" w14:paraId="3D9B61D1" w14:textId="7ED6E72E" w:rsidTr="00842719">
        <w:trPr>
          <w:cantSplit/>
          <w:trHeight w:val="60"/>
        </w:trPr>
        <w:tc>
          <w:tcPr>
            <w:tcW w:w="1871" w:type="dxa"/>
          </w:tcPr>
          <w:p w14:paraId="6C0CB9D8" w14:textId="77777777" w:rsidR="00842719" w:rsidRDefault="00842719" w:rsidP="00842719">
            <w:pPr>
              <w:pStyle w:val="TableSideHeading"/>
              <w:ind w:right="0"/>
            </w:pPr>
          </w:p>
        </w:tc>
        <w:tc>
          <w:tcPr>
            <w:tcW w:w="624" w:type="dxa"/>
          </w:tcPr>
          <w:p w14:paraId="3F4286A2" w14:textId="77777777" w:rsidR="00842719" w:rsidRDefault="00842719" w:rsidP="00842719">
            <w:pPr>
              <w:pStyle w:val="TableText"/>
              <w:ind w:right="0"/>
              <w:jc w:val="both"/>
            </w:pPr>
          </w:p>
        </w:tc>
        <w:tc>
          <w:tcPr>
            <w:tcW w:w="624" w:type="dxa"/>
            <w:gridSpan w:val="2"/>
          </w:tcPr>
          <w:p w14:paraId="7633D5BB" w14:textId="083F6379" w:rsidR="00842719" w:rsidRPr="00C34DE2" w:rsidRDefault="00842719" w:rsidP="00842719">
            <w:pPr>
              <w:pStyle w:val="TableBlockOutdent"/>
            </w:pPr>
          </w:p>
        </w:tc>
        <w:tc>
          <w:tcPr>
            <w:tcW w:w="6522" w:type="dxa"/>
          </w:tcPr>
          <w:p w14:paraId="156FC20E" w14:textId="0DF67844" w:rsidR="00842719" w:rsidRPr="009744FC" w:rsidRDefault="00842719" w:rsidP="009744FC">
            <w:pPr>
              <w:pStyle w:val="TableBlockOutdent"/>
            </w:pPr>
            <w:r w:rsidRPr="009744FC">
              <w:rPr>
                <w:rFonts w:hint="cs"/>
                <w:rtl/>
              </w:rPr>
              <w:t>""</w:t>
            </w:r>
            <w:r w:rsidRPr="009744FC">
              <w:rPr>
                <w:rtl/>
              </w:rPr>
              <w:t>הפקדה מזכה" – סך הכספים ומחירם המקורי של ניירות ערך להשקעה שהופקדו בחשבון השקעה בניכוי כספים וניירות ערך להשקעה שנמשכו מחשבון ההשקעה על חשבון מרכיב הקרן;</w:t>
            </w:r>
            <w:r w:rsidRPr="009744FC">
              <w:rPr>
                <w:rFonts w:hint="cs"/>
                <w:rtl/>
              </w:rPr>
              <w:t xml:space="preserve"> לעניין זה, "מרכיב הקרן" </w:t>
            </w:r>
            <w:r w:rsidRPr="009744FC">
              <w:rPr>
                <w:rFonts w:hint="eastAsia"/>
                <w:rtl/>
              </w:rPr>
              <w:t>–</w:t>
            </w:r>
            <w:r w:rsidRPr="009744FC">
              <w:rPr>
                <w:rFonts w:hint="cs"/>
                <w:rtl/>
              </w:rPr>
              <w:t xml:space="preserve"> </w:t>
            </w:r>
            <w:r w:rsidRPr="009744FC">
              <w:rPr>
                <w:rtl/>
              </w:rPr>
              <w:t>סך ההפקדות שהלקוח הפקיד בחשבון ההשקעה לפני תשואה</w:t>
            </w:r>
            <w:r w:rsidRPr="009744FC">
              <w:rPr>
                <w:rFonts w:hint="cs"/>
                <w:rtl/>
              </w:rPr>
              <w:t>;</w:t>
            </w:r>
          </w:p>
        </w:tc>
      </w:tr>
      <w:tr w:rsidR="00842719" w14:paraId="7202A93D" w14:textId="51C7AA8F" w:rsidTr="00842719">
        <w:trPr>
          <w:cantSplit/>
          <w:trHeight w:val="60"/>
        </w:trPr>
        <w:tc>
          <w:tcPr>
            <w:tcW w:w="1871" w:type="dxa"/>
          </w:tcPr>
          <w:p w14:paraId="126A9554" w14:textId="09674F02" w:rsidR="00842719" w:rsidRDefault="00842719" w:rsidP="00842719">
            <w:pPr>
              <w:pStyle w:val="TableSideHeading"/>
              <w:ind w:right="0"/>
            </w:pPr>
          </w:p>
        </w:tc>
        <w:tc>
          <w:tcPr>
            <w:tcW w:w="624" w:type="dxa"/>
          </w:tcPr>
          <w:p w14:paraId="1DEF6D17" w14:textId="77777777" w:rsidR="00842719" w:rsidRDefault="00842719" w:rsidP="00842719">
            <w:pPr>
              <w:pStyle w:val="TableText"/>
              <w:ind w:right="0"/>
              <w:jc w:val="both"/>
            </w:pPr>
          </w:p>
        </w:tc>
        <w:tc>
          <w:tcPr>
            <w:tcW w:w="624" w:type="dxa"/>
            <w:gridSpan w:val="2"/>
          </w:tcPr>
          <w:p w14:paraId="0538E054" w14:textId="25212A42" w:rsidR="00842719" w:rsidRPr="00C34DE2" w:rsidRDefault="00842719" w:rsidP="00842719">
            <w:pPr>
              <w:pStyle w:val="TableBlockOutdent"/>
            </w:pPr>
          </w:p>
        </w:tc>
        <w:tc>
          <w:tcPr>
            <w:tcW w:w="6522" w:type="dxa"/>
          </w:tcPr>
          <w:p w14:paraId="73E70AC3" w14:textId="0F842586" w:rsidR="00842719" w:rsidRPr="009744FC" w:rsidRDefault="00842719" w:rsidP="009744FC">
            <w:pPr>
              <w:pStyle w:val="TableBlockOutdent"/>
            </w:pPr>
            <w:r w:rsidRPr="009744FC">
              <w:rPr>
                <w:rtl/>
              </w:rPr>
              <w:t>"חשבון השקעה" – חשבון בתאגיד בנקאי או בחבר בורסה בישראל בבעלות יחיד תושב ישראל</w:t>
            </w:r>
            <w:r w:rsidRPr="009744FC">
              <w:rPr>
                <w:rFonts w:hint="cs"/>
                <w:rtl/>
              </w:rPr>
              <w:t>,</w:t>
            </w:r>
            <w:r w:rsidRPr="009744FC">
              <w:rPr>
                <w:rtl/>
              </w:rPr>
              <w:t xml:space="preserve"> </w:t>
            </w:r>
            <w:r w:rsidRPr="009744FC">
              <w:rPr>
                <w:rFonts w:hint="cs"/>
                <w:rtl/>
              </w:rPr>
              <w:t>ש</w:t>
            </w:r>
            <w:r w:rsidRPr="009744FC">
              <w:rPr>
                <w:rtl/>
              </w:rPr>
              <w:t>מוחזקים בו כספים</w:t>
            </w:r>
            <w:r w:rsidRPr="009744FC">
              <w:rPr>
                <w:rFonts w:hint="cs"/>
                <w:rtl/>
              </w:rPr>
              <w:t xml:space="preserve"> או</w:t>
            </w:r>
            <w:r w:rsidRPr="009744FC">
              <w:rPr>
                <w:rtl/>
              </w:rPr>
              <w:t xml:space="preserve"> ניירות ערך להשקעה בלבד, עבור אותו יחיד, שמקורם בהפקדה מזכה של אותו יחיד</w:t>
            </w:r>
            <w:r w:rsidRPr="009744FC">
              <w:rPr>
                <w:rFonts w:hint="cs"/>
                <w:rtl/>
              </w:rPr>
              <w:t xml:space="preserve"> </w:t>
            </w:r>
            <w:r w:rsidRPr="009744FC">
              <w:rPr>
                <w:rtl/>
              </w:rPr>
              <w:t xml:space="preserve">בסכום כולל שלא </w:t>
            </w:r>
            <w:r w:rsidRPr="009744FC">
              <w:rPr>
                <w:rFonts w:hint="cs"/>
                <w:rtl/>
              </w:rPr>
              <w:t>יעלה על סכום ההפקדה בקופת גמל להשקעה הנקוב בסעיף 22(א) לחוק הפיקוח על קופות גמל; שר האוצר, באישור ועדת הכספים של הכנסת, רשאי לקבוע הוראות לעניין חשבון השקעה, הוראות כאמור</w:t>
            </w:r>
            <w:r w:rsidRPr="009744FC">
              <w:rPr>
                <w:rtl/>
              </w:rPr>
              <w:t xml:space="preserve"> יכול שיכללו</w:t>
            </w:r>
            <w:r w:rsidRPr="009744FC">
              <w:rPr>
                <w:rFonts w:hint="cs"/>
                <w:rtl/>
              </w:rPr>
              <w:t>,</w:t>
            </w:r>
            <w:r w:rsidRPr="009744FC">
              <w:rPr>
                <w:rtl/>
              </w:rPr>
              <w:t xml:space="preserve"> בין היתר</w:t>
            </w:r>
            <w:r w:rsidRPr="009744FC">
              <w:rPr>
                <w:rFonts w:hint="cs"/>
                <w:rtl/>
              </w:rPr>
              <w:t>,</w:t>
            </w:r>
            <w:r w:rsidRPr="009744FC">
              <w:rPr>
                <w:rtl/>
              </w:rPr>
              <w:t xml:space="preserve"> הוראות </w:t>
            </w:r>
            <w:r w:rsidRPr="009744FC">
              <w:rPr>
                <w:rFonts w:hint="cs"/>
                <w:rtl/>
              </w:rPr>
              <w:t>לעניין</w:t>
            </w:r>
            <w:r w:rsidRPr="009744FC">
              <w:rPr>
                <w:rtl/>
              </w:rPr>
              <w:t xml:space="preserve"> פתיחה וסגירה של חשבון השקעה ו</w:t>
            </w:r>
            <w:r w:rsidRPr="009744FC">
              <w:rPr>
                <w:rFonts w:hint="cs"/>
                <w:rtl/>
              </w:rPr>
              <w:t xml:space="preserve">לעניין </w:t>
            </w:r>
            <w:r w:rsidRPr="009744FC">
              <w:rPr>
                <w:rtl/>
              </w:rPr>
              <w:t>דמי ניהול</w:t>
            </w:r>
            <w:r w:rsidRPr="009744FC">
              <w:rPr>
                <w:rFonts w:hint="cs"/>
                <w:rtl/>
              </w:rPr>
              <w:t xml:space="preserve"> ועמלות</w:t>
            </w:r>
            <w:r w:rsidRPr="009744FC">
              <w:rPr>
                <w:rtl/>
              </w:rPr>
              <w:t xml:space="preserve"> בגין ניהול חשבון כאמור</w:t>
            </w:r>
            <w:r w:rsidRPr="009744FC">
              <w:rPr>
                <w:rFonts w:hint="cs"/>
                <w:rtl/>
              </w:rPr>
              <w:t>;";</w:t>
            </w:r>
          </w:p>
        </w:tc>
      </w:tr>
      <w:tr w:rsidR="004543E4" w14:paraId="75E62002" w14:textId="77777777" w:rsidTr="004543E4">
        <w:trPr>
          <w:cantSplit/>
          <w:trHeight w:val="60"/>
        </w:trPr>
        <w:tc>
          <w:tcPr>
            <w:tcW w:w="1871" w:type="dxa"/>
          </w:tcPr>
          <w:p w14:paraId="74EBEEED" w14:textId="77777777" w:rsidR="004543E4" w:rsidRDefault="004543E4" w:rsidP="00411627">
            <w:pPr>
              <w:pStyle w:val="TableSideHeading"/>
              <w:keepLines w:val="0"/>
            </w:pPr>
          </w:p>
        </w:tc>
        <w:tc>
          <w:tcPr>
            <w:tcW w:w="682" w:type="dxa"/>
            <w:gridSpan w:val="2"/>
          </w:tcPr>
          <w:p w14:paraId="1A39F236" w14:textId="77777777" w:rsidR="004543E4" w:rsidRDefault="004543E4" w:rsidP="00D9560F">
            <w:pPr>
              <w:pStyle w:val="TableText"/>
            </w:pPr>
          </w:p>
        </w:tc>
        <w:tc>
          <w:tcPr>
            <w:tcW w:w="7088" w:type="dxa"/>
            <w:gridSpan w:val="2"/>
          </w:tcPr>
          <w:p w14:paraId="3C0DBBB0" w14:textId="1086C271" w:rsidR="004543E4" w:rsidRDefault="004543E4" w:rsidP="00411627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 w:rsidRPr="004543E4">
              <w:rPr>
                <w:rtl/>
              </w:rPr>
              <w:t>אחרי ההגדרה "נייר ערך מסחרי" יבוא</w:t>
            </w:r>
            <w:r>
              <w:rPr>
                <w:rFonts w:hint="cs"/>
                <w:rtl/>
              </w:rPr>
              <w:t>:</w:t>
            </w:r>
          </w:p>
        </w:tc>
      </w:tr>
      <w:tr w:rsidR="00842719" w14:paraId="0BFA2F98" w14:textId="45E72037" w:rsidTr="00842719">
        <w:trPr>
          <w:cantSplit/>
          <w:trHeight w:val="60"/>
        </w:trPr>
        <w:tc>
          <w:tcPr>
            <w:tcW w:w="1871" w:type="dxa"/>
          </w:tcPr>
          <w:p w14:paraId="5ACBF64D" w14:textId="77777777" w:rsidR="00842719" w:rsidRDefault="00842719" w:rsidP="00842719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</w:tcPr>
          <w:p w14:paraId="5DB4C029" w14:textId="77777777" w:rsidR="00842719" w:rsidRDefault="00842719" w:rsidP="00842719">
            <w:pPr>
              <w:pStyle w:val="TableText"/>
              <w:ind w:right="0"/>
              <w:jc w:val="both"/>
            </w:pPr>
          </w:p>
        </w:tc>
        <w:tc>
          <w:tcPr>
            <w:tcW w:w="624" w:type="dxa"/>
            <w:gridSpan w:val="2"/>
          </w:tcPr>
          <w:p w14:paraId="7A3CDD14" w14:textId="79CDF226" w:rsidR="00842719" w:rsidRDefault="00842719" w:rsidP="00842719">
            <w:pPr>
              <w:pStyle w:val="TableBlockOutdent"/>
              <w:rPr>
                <w:rtl/>
              </w:rPr>
            </w:pPr>
          </w:p>
        </w:tc>
        <w:tc>
          <w:tcPr>
            <w:tcW w:w="6519" w:type="dxa"/>
          </w:tcPr>
          <w:p w14:paraId="4ECBC322" w14:textId="0D438647" w:rsidR="00842719" w:rsidRPr="009744FC" w:rsidRDefault="00842719" w:rsidP="009744FC">
            <w:pPr>
              <w:pStyle w:val="TableBlockOutdent"/>
              <w:rPr>
                <w:rtl/>
              </w:rPr>
            </w:pPr>
            <w:r w:rsidRPr="009744FC">
              <w:rPr>
                <w:rtl/>
              </w:rPr>
              <w:t>"</w:t>
            </w:r>
            <w:r w:rsidRPr="009744FC">
              <w:rPr>
                <w:rFonts w:hint="cs"/>
                <w:rtl/>
              </w:rPr>
              <w:t>"</w:t>
            </w:r>
            <w:r w:rsidRPr="009744FC">
              <w:rPr>
                <w:rtl/>
              </w:rPr>
              <w:t>ניירות ערך להשקעה" – ניירות ערך הנסחרים בבורסה, לרבות יחידה בקרן נאמנות ומניה בקרן להשקעות במקרקעין</w:t>
            </w:r>
            <w:r w:rsidRPr="009744FC">
              <w:rPr>
                <w:rFonts w:hint="cs"/>
                <w:rtl/>
              </w:rPr>
              <w:t xml:space="preserve"> כהגדרתה בסעיף 64א2;</w:t>
            </w:r>
            <w:r w:rsidRPr="009744FC">
              <w:rPr>
                <w:rtl/>
              </w:rPr>
              <w:t>".</w:t>
            </w:r>
          </w:p>
        </w:tc>
      </w:tr>
      <w:tr w:rsidR="00411627" w14:paraId="5EFAB550" w14:textId="77777777" w:rsidTr="00D9560F">
        <w:trPr>
          <w:cantSplit/>
          <w:trHeight w:val="60"/>
        </w:trPr>
        <w:tc>
          <w:tcPr>
            <w:tcW w:w="1871" w:type="dxa"/>
          </w:tcPr>
          <w:p w14:paraId="65A6D0B5" w14:textId="0BAA7CA0" w:rsidR="00411627" w:rsidRDefault="00411627" w:rsidP="00D9560F">
            <w:pPr>
              <w:pStyle w:val="TableSideHeading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 xml:space="preserve"> תיקון סעיף 91</w:t>
            </w:r>
          </w:p>
        </w:tc>
        <w:tc>
          <w:tcPr>
            <w:tcW w:w="682" w:type="dxa"/>
            <w:gridSpan w:val="2"/>
          </w:tcPr>
          <w:p w14:paraId="4BA19761" w14:textId="6C91742E" w:rsidR="00411627" w:rsidRDefault="00411627" w:rsidP="00411627">
            <w:pPr>
              <w:pStyle w:val="TableText"/>
              <w:keepLines w:val="0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088" w:type="dxa"/>
            <w:gridSpan w:val="2"/>
          </w:tcPr>
          <w:p w14:paraId="11395190" w14:textId="73E5421B" w:rsidR="00411627" w:rsidRDefault="00411627" w:rsidP="00D9560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בסעיף 91(ב)(3)(א) לפקודה, אחרי "על אף האמור בפסקאות (1) ו- (2)," יבוא "</w:t>
            </w:r>
            <w:r w:rsidR="00767E37">
              <w:rPr>
                <w:rFonts w:hint="cs"/>
                <w:rtl/>
              </w:rPr>
              <w:t xml:space="preserve">רווח </w:t>
            </w:r>
            <w:r w:rsidR="00347E24">
              <w:rPr>
                <w:rFonts w:hint="cs"/>
                <w:rtl/>
              </w:rPr>
              <w:t>הון ממשיכה מחשבון השקעה או</w:t>
            </w:r>
            <w:r w:rsidR="00767E37">
              <w:rPr>
                <w:rFonts w:hint="cs"/>
                <w:rtl/>
              </w:rPr>
              <w:t>".</w:t>
            </w:r>
          </w:p>
        </w:tc>
      </w:tr>
      <w:tr w:rsidR="00411627" w14:paraId="3B1122A3" w14:textId="77777777" w:rsidTr="00D9560F">
        <w:trPr>
          <w:cantSplit/>
          <w:trHeight w:val="60"/>
        </w:trPr>
        <w:tc>
          <w:tcPr>
            <w:tcW w:w="1871" w:type="dxa"/>
          </w:tcPr>
          <w:p w14:paraId="67B6110D" w14:textId="3D26078C" w:rsidR="00411627" w:rsidRDefault="00347E24" w:rsidP="00411627">
            <w:pPr>
              <w:pStyle w:val="TableSideHeading"/>
              <w:keepLines w:val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 תיקון סעיף 92</w:t>
            </w:r>
          </w:p>
        </w:tc>
        <w:tc>
          <w:tcPr>
            <w:tcW w:w="682" w:type="dxa"/>
            <w:gridSpan w:val="2"/>
          </w:tcPr>
          <w:p w14:paraId="4EB91270" w14:textId="2322F4B4" w:rsidR="00411627" w:rsidRDefault="00411627" w:rsidP="00411627">
            <w:pPr>
              <w:pStyle w:val="TableText"/>
              <w:keepLines w:val="0"/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7088" w:type="dxa"/>
            <w:gridSpan w:val="2"/>
          </w:tcPr>
          <w:p w14:paraId="2D05300D" w14:textId="3BD81A70" w:rsidR="00411627" w:rsidRDefault="00411627" w:rsidP="009D1FC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בסעיף 92(א)</w:t>
            </w:r>
            <w:r w:rsidR="000A5C97">
              <w:rPr>
                <w:rFonts w:hint="cs"/>
                <w:rtl/>
              </w:rPr>
              <w:t>(4)</w:t>
            </w:r>
            <w:r>
              <w:rPr>
                <w:rFonts w:hint="cs"/>
                <w:rtl/>
              </w:rPr>
              <w:t xml:space="preserve"> לפקודה</w:t>
            </w:r>
            <w:r w:rsidR="000A5C97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אחרי</w:t>
            </w:r>
            <w:r w:rsidR="009D1FCF">
              <w:rPr>
                <w:rFonts w:hint="cs"/>
                <w:rtl/>
              </w:rPr>
              <w:t xml:space="preserve"> "במכירת נייר ערך"</w:t>
            </w:r>
            <w:r>
              <w:rPr>
                <w:rFonts w:hint="cs"/>
                <w:rtl/>
              </w:rPr>
              <w:t xml:space="preserve"> יבוא</w:t>
            </w:r>
            <w:r w:rsidR="000A5C97">
              <w:rPr>
                <w:rFonts w:hint="cs"/>
                <w:rtl/>
              </w:rPr>
              <w:t xml:space="preserve"> "או בחשבון השקעה". </w:t>
            </w:r>
          </w:p>
        </w:tc>
      </w:tr>
      <w:tr w:rsidR="0067165D" w14:paraId="6F223295" w14:textId="77777777" w:rsidTr="004543E4">
        <w:trPr>
          <w:cantSplit/>
          <w:trHeight w:val="60"/>
        </w:trPr>
        <w:tc>
          <w:tcPr>
            <w:tcW w:w="1871" w:type="dxa"/>
          </w:tcPr>
          <w:p w14:paraId="3614393E" w14:textId="16B551A8" w:rsidR="0067165D" w:rsidRDefault="0067165D" w:rsidP="00411627">
            <w:pPr>
              <w:pStyle w:val="TableSideHeading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 xml:space="preserve"> תיקון סעיף 97</w:t>
            </w:r>
          </w:p>
        </w:tc>
        <w:tc>
          <w:tcPr>
            <w:tcW w:w="682" w:type="dxa"/>
            <w:gridSpan w:val="2"/>
          </w:tcPr>
          <w:p w14:paraId="40E4C2F6" w14:textId="1E4FF094" w:rsidR="0067165D" w:rsidRDefault="0067165D" w:rsidP="00411627">
            <w:pPr>
              <w:pStyle w:val="TableText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7088" w:type="dxa"/>
            <w:gridSpan w:val="2"/>
          </w:tcPr>
          <w:p w14:paraId="23181D21" w14:textId="009166D9" w:rsidR="0067165D" w:rsidRDefault="000A5C97" w:rsidP="009D1FC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</w:t>
            </w:r>
            <w:r w:rsidR="0067165D">
              <w:rPr>
                <w:rFonts w:hint="cs"/>
                <w:rtl/>
              </w:rPr>
              <w:t>סעיף 97 לפקודה</w:t>
            </w:r>
            <w:r>
              <w:rPr>
                <w:rFonts w:hint="cs"/>
                <w:rtl/>
              </w:rPr>
              <w:t>, אחרי סעיף קטן (ב3)</w:t>
            </w:r>
            <w:r w:rsidR="0067165D">
              <w:rPr>
                <w:rFonts w:hint="cs"/>
                <w:rtl/>
              </w:rPr>
              <w:t xml:space="preserve"> יבוא</w:t>
            </w:r>
            <w:r w:rsidR="00B31E9B">
              <w:rPr>
                <w:rFonts w:hint="cs"/>
                <w:rtl/>
              </w:rPr>
              <w:t>:</w:t>
            </w:r>
            <w:r w:rsidR="0067165D">
              <w:rPr>
                <w:rFonts w:hint="cs"/>
                <w:rtl/>
              </w:rPr>
              <w:t xml:space="preserve">  </w:t>
            </w:r>
          </w:p>
        </w:tc>
      </w:tr>
      <w:tr w:rsidR="0067165D" w14:paraId="4BA59FE8" w14:textId="77777777">
        <w:trPr>
          <w:cantSplit/>
          <w:trHeight w:val="60"/>
        </w:trPr>
        <w:tc>
          <w:tcPr>
            <w:tcW w:w="1871" w:type="dxa"/>
          </w:tcPr>
          <w:p w14:paraId="7D2C7711" w14:textId="77777777" w:rsidR="0067165D" w:rsidRDefault="0067165D">
            <w:pPr>
              <w:pStyle w:val="TableSideHeading"/>
            </w:pPr>
          </w:p>
        </w:tc>
        <w:tc>
          <w:tcPr>
            <w:tcW w:w="624" w:type="dxa"/>
          </w:tcPr>
          <w:p w14:paraId="2DE0C2CF" w14:textId="77777777" w:rsidR="0067165D" w:rsidRDefault="0067165D">
            <w:pPr>
              <w:pStyle w:val="TableText"/>
            </w:pPr>
          </w:p>
        </w:tc>
        <w:tc>
          <w:tcPr>
            <w:tcW w:w="624" w:type="dxa"/>
            <w:gridSpan w:val="2"/>
          </w:tcPr>
          <w:p w14:paraId="229E4DF3" w14:textId="30BB2920" w:rsidR="0067165D" w:rsidRDefault="0067165D" w:rsidP="00D9560F">
            <w:pPr>
              <w:pStyle w:val="TableText"/>
            </w:pPr>
            <w:r>
              <w:rPr>
                <w:rFonts w:hint="cs"/>
                <w:rtl/>
              </w:rPr>
              <w:t>"(</w:t>
            </w:r>
            <w:r w:rsidR="000A5C97">
              <w:rPr>
                <w:rFonts w:hint="cs"/>
                <w:rtl/>
              </w:rPr>
              <w:t>ב4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6522" w:type="dxa"/>
          </w:tcPr>
          <w:p w14:paraId="2E213972" w14:textId="64224289" w:rsidR="0067165D" w:rsidRDefault="0067165D" w:rsidP="00D9560F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 w:rsidRPr="0067165D">
              <w:rPr>
                <w:rtl/>
              </w:rPr>
              <w:t xml:space="preserve">יחיד תושב ישראל </w:t>
            </w:r>
            <w:r>
              <w:rPr>
                <w:rtl/>
              </w:rPr>
              <w:t xml:space="preserve">פטור ממס על </w:t>
            </w:r>
            <w:r w:rsidR="00842719">
              <w:rPr>
                <w:rtl/>
              </w:rPr>
              <w:t>הכנסתו</w:t>
            </w:r>
            <w:r w:rsidR="00842719">
              <w:rPr>
                <w:rFonts w:hint="cs"/>
                <w:rtl/>
              </w:rPr>
              <w:t xml:space="preserve"> </w:t>
            </w:r>
            <w:r w:rsidRPr="0067165D">
              <w:rPr>
                <w:rtl/>
              </w:rPr>
              <w:t xml:space="preserve">שהופקה או שנצמחה בישראל או מחוץ לישראל, שמקורה בהפקדה מזכה של כספים וניירות ערך להשקעה בחשבון </w:t>
            </w:r>
            <w:r w:rsidRPr="000A5C97">
              <w:rPr>
                <w:rtl/>
              </w:rPr>
              <w:t>השקעה</w:t>
            </w:r>
            <w:r w:rsidR="009744FC">
              <w:rPr>
                <w:rFonts w:hint="cs"/>
                <w:rtl/>
              </w:rPr>
              <w:t>.</w:t>
            </w:r>
          </w:p>
        </w:tc>
      </w:tr>
      <w:tr w:rsidR="0067165D" w14:paraId="5AAD4A5A" w14:textId="77777777">
        <w:trPr>
          <w:cantSplit/>
          <w:trHeight w:val="60"/>
        </w:trPr>
        <w:tc>
          <w:tcPr>
            <w:tcW w:w="1871" w:type="dxa"/>
          </w:tcPr>
          <w:p w14:paraId="03D9EC9E" w14:textId="77777777" w:rsidR="0067165D" w:rsidRDefault="0067165D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5A571C46" w14:textId="77777777" w:rsidR="0067165D" w:rsidRDefault="0067165D">
            <w:pPr>
              <w:pStyle w:val="TableText"/>
            </w:pPr>
          </w:p>
        </w:tc>
        <w:tc>
          <w:tcPr>
            <w:tcW w:w="624" w:type="dxa"/>
            <w:gridSpan w:val="2"/>
          </w:tcPr>
          <w:p w14:paraId="5AE49015" w14:textId="77777777" w:rsidR="0067165D" w:rsidRDefault="0067165D">
            <w:pPr>
              <w:pStyle w:val="TableText"/>
              <w:rPr>
                <w:rtl/>
              </w:rPr>
            </w:pPr>
          </w:p>
        </w:tc>
        <w:tc>
          <w:tcPr>
            <w:tcW w:w="6522" w:type="dxa"/>
          </w:tcPr>
          <w:p w14:paraId="0D7849A0" w14:textId="2BBBFA0A" w:rsidR="0067165D" w:rsidRDefault="0067165D" w:rsidP="00D9560F">
            <w:pPr>
              <w:pStyle w:val="TableBlock"/>
              <w:rPr>
                <w:rtl/>
              </w:rPr>
            </w:pPr>
            <w:r w:rsidRPr="0067165D">
              <w:rPr>
                <w:rtl/>
              </w:rPr>
              <w:t>(2)</w:t>
            </w:r>
            <w:r w:rsidRPr="0067165D">
              <w:rPr>
                <w:rtl/>
              </w:rPr>
              <w:tab/>
              <w:t xml:space="preserve">לא יראו בהעברת כספים או ניירות ערך להשקעה בין חשבונות השקעה בבעלות אותו יחיד או בהעברת כספים או ניירות ערך להשקעה מחשבון השקעה לקופת גמל </w:t>
            </w:r>
            <w:r w:rsidR="000A5C97">
              <w:rPr>
                <w:rFonts w:hint="cs"/>
                <w:rtl/>
              </w:rPr>
              <w:t>לקצבה</w:t>
            </w:r>
            <w:r w:rsidR="000B63F2">
              <w:rPr>
                <w:rFonts w:hint="cs"/>
                <w:rtl/>
              </w:rPr>
              <w:t xml:space="preserve"> או לקופת גמל להשקעה, או מקופת גמל להשקעה לחשבון השקעה</w:t>
            </w:r>
            <w:r w:rsidR="000A5C97">
              <w:rPr>
                <w:rFonts w:hint="cs"/>
                <w:rtl/>
              </w:rPr>
              <w:t xml:space="preserve"> </w:t>
            </w:r>
            <w:r w:rsidRPr="0067165D">
              <w:rPr>
                <w:rtl/>
              </w:rPr>
              <w:t xml:space="preserve">כמשיכה לעניין </w:t>
            </w:r>
            <w:r w:rsidR="00B31E9B">
              <w:rPr>
                <w:rFonts w:hint="cs"/>
                <w:rtl/>
              </w:rPr>
              <w:t xml:space="preserve">פסקה </w:t>
            </w:r>
            <w:r w:rsidRPr="0067165D">
              <w:rPr>
                <w:rtl/>
              </w:rPr>
              <w:t>(</w:t>
            </w:r>
            <w:r w:rsidR="00B31E9B">
              <w:rPr>
                <w:rFonts w:hint="cs"/>
                <w:rtl/>
              </w:rPr>
              <w:t>1</w:t>
            </w:r>
            <w:r w:rsidRPr="0067165D">
              <w:rPr>
                <w:rtl/>
              </w:rPr>
              <w:t>)."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148DD202" w14:textId="77777777" w:rsidR="00411627" w:rsidRDefault="00411627" w:rsidP="0067165D">
      <w:pPr>
        <w:ind w:firstLine="0"/>
        <w:rPr>
          <w:rFonts w:ascii="David" w:hAnsi="David" w:cs="David"/>
          <w:b/>
          <w:bCs/>
          <w:color w:val="auto"/>
          <w:spacing w:val="0"/>
          <w:sz w:val="28"/>
          <w:szCs w:val="28"/>
          <w:lang w:eastAsia="en-US"/>
        </w:rPr>
      </w:pPr>
    </w:p>
    <w:p w14:paraId="1FBE439C" w14:textId="0150FD31" w:rsidR="00411627" w:rsidRPr="00FD5CEF" w:rsidRDefault="00820ABD" w:rsidP="009744FC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>ב</w:t>
      </w:r>
      <w:r w:rsidR="00411627" w:rsidRPr="00FD5CEF">
        <w:rPr>
          <w:rFonts w:hint="cs"/>
          <w:rtl/>
        </w:rPr>
        <w:t>חוק הפיקוח על שירותים פיננסיים (קופות גמל)</w:t>
      </w:r>
      <w:r w:rsidR="00FD5CEF">
        <w:rPr>
          <w:rFonts w:hint="cs"/>
          <w:rtl/>
        </w:rPr>
        <w:t xml:space="preserve"> (תיקון מס' 15), התשע''ו</w:t>
      </w:r>
      <w:r w:rsidR="00FD5CEF">
        <w:rPr>
          <w:rFonts w:hint="eastAsia"/>
          <w:rtl/>
        </w:rPr>
        <w:t>–</w:t>
      </w:r>
      <w:r w:rsidR="00FD5CEF">
        <w:rPr>
          <w:rFonts w:hint="cs"/>
          <w:rtl/>
        </w:rPr>
        <w:t>2016</w:t>
      </w:r>
      <w:r w:rsidR="009744FC">
        <w:rPr>
          <w:rFonts w:hint="cs"/>
          <w:rtl/>
        </w:rPr>
        <w:t xml:space="preserve">, </w:t>
      </w:r>
      <w:r w:rsidR="00E03653">
        <w:rPr>
          <w:rFonts w:hint="cs"/>
          <w:rtl/>
        </w:rPr>
        <w:t>הוסדרה פעילותה של קופת גמל להשקעה</w:t>
      </w:r>
      <w:r>
        <w:rPr>
          <w:rFonts w:hint="cs"/>
          <w:rtl/>
        </w:rPr>
        <w:t xml:space="preserve"> שמאפשרת אפיק חיסכון הוני</w:t>
      </w:r>
      <w:r w:rsidR="00E03653">
        <w:rPr>
          <w:rFonts w:hint="cs"/>
          <w:rtl/>
        </w:rPr>
        <w:t xml:space="preserve"> </w:t>
      </w:r>
      <w:r w:rsidR="00842719">
        <w:rPr>
          <w:rFonts w:hint="cs"/>
          <w:rtl/>
        </w:rPr>
        <w:t>שבו</w:t>
      </w:r>
      <w:r>
        <w:rPr>
          <w:rFonts w:hint="cs"/>
          <w:rtl/>
        </w:rPr>
        <w:t xml:space="preserve"> עמית בקופת גמל להשקעה יכול </w:t>
      </w:r>
      <w:r w:rsidR="009D1FCF">
        <w:rPr>
          <w:rFonts w:hint="cs"/>
          <w:rtl/>
        </w:rPr>
        <w:t>ליהנו</w:t>
      </w:r>
      <w:r w:rsidR="009D1FCF">
        <w:rPr>
          <w:rFonts w:hint="eastAsia"/>
          <w:rtl/>
        </w:rPr>
        <w:t>ת</w:t>
      </w:r>
      <w:r>
        <w:rPr>
          <w:rFonts w:hint="cs"/>
          <w:rtl/>
        </w:rPr>
        <w:t xml:space="preserve"> </w:t>
      </w:r>
      <w:r w:rsidR="00411627" w:rsidRPr="00FD5CEF">
        <w:rPr>
          <w:rFonts w:hint="cs"/>
          <w:rtl/>
        </w:rPr>
        <w:t>מהטבות מס ייחודיות. מתן הטבות מ</w:t>
      </w:r>
      <w:r w:rsidR="00842719">
        <w:rPr>
          <w:rFonts w:hint="cs"/>
          <w:rtl/>
        </w:rPr>
        <w:t xml:space="preserve">ס באופן בלעדי לקופת גמל להשקעה </w:t>
      </w:r>
      <w:r w:rsidR="00411627" w:rsidRPr="00FD5CEF">
        <w:rPr>
          <w:rFonts w:hint="cs"/>
          <w:rtl/>
        </w:rPr>
        <w:t xml:space="preserve">בלי לאפשר קבלה של אותה הטבת מס </w:t>
      </w:r>
      <w:r w:rsidR="00842719">
        <w:rPr>
          <w:rFonts w:hint="cs"/>
          <w:rtl/>
        </w:rPr>
        <w:t xml:space="preserve">כאשר </w:t>
      </w:r>
      <w:r w:rsidR="00411627" w:rsidRPr="00FD5CEF">
        <w:rPr>
          <w:rFonts w:hint="cs"/>
          <w:rtl/>
        </w:rPr>
        <w:t>משקיע מעדיף לחסוך לתכלית דומה באמצעות אפיק חסכון מתחרה, פוגע בתחרות.</w:t>
      </w:r>
    </w:p>
    <w:p w14:paraId="378011F9" w14:textId="224343A2" w:rsidR="00024311" w:rsidRDefault="00024311" w:rsidP="009744FC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 xml:space="preserve">לפיכך, בהצעת חוק זו מוצע לקבוע הסדר </w:t>
      </w:r>
      <w:r w:rsidR="00820ABD">
        <w:rPr>
          <w:rFonts w:hint="cs"/>
          <w:rtl/>
        </w:rPr>
        <w:t>חלופי</w:t>
      </w:r>
      <w:r>
        <w:rPr>
          <w:rFonts w:hint="cs"/>
          <w:rtl/>
        </w:rPr>
        <w:t xml:space="preserve"> של "חשבון השקעה"</w:t>
      </w:r>
      <w:r w:rsidR="00820ABD">
        <w:rPr>
          <w:rFonts w:hint="cs"/>
          <w:rtl/>
        </w:rPr>
        <w:t xml:space="preserve"> שהוא</w:t>
      </w:r>
      <w:r w:rsidRPr="00024311">
        <w:rPr>
          <w:rFonts w:hint="cs"/>
          <w:rtl/>
        </w:rPr>
        <w:t xml:space="preserve"> </w:t>
      </w:r>
      <w:r w:rsidRPr="00FD5CEF">
        <w:rPr>
          <w:rFonts w:hint="cs"/>
          <w:rtl/>
        </w:rPr>
        <w:t>חשבון ניירות ערך אצל חבר בורסה בישראל</w:t>
      </w:r>
      <w:r>
        <w:rPr>
          <w:rFonts w:hint="cs"/>
          <w:rtl/>
        </w:rPr>
        <w:t xml:space="preserve"> שיכלול</w:t>
      </w:r>
      <w:r w:rsidRPr="00FD5CEF">
        <w:rPr>
          <w:rFonts w:hint="cs"/>
          <w:rtl/>
        </w:rPr>
        <w:t xml:space="preserve"> מ</w:t>
      </w:r>
      <w:r w:rsidR="00820ABD">
        <w:rPr>
          <w:rFonts w:hint="cs"/>
          <w:rtl/>
        </w:rPr>
        <w:t>ו</w:t>
      </w:r>
      <w:r w:rsidRPr="00FD5CEF">
        <w:rPr>
          <w:rFonts w:hint="cs"/>
          <w:rtl/>
        </w:rPr>
        <w:t>צרי השקעה כדוגמת ניירות ערך נסחרים בבורסה בישראל ומחוץ לישראל, קרנות נאמנות ותעודות סל</w:t>
      </w:r>
      <w:r>
        <w:rPr>
          <w:rFonts w:hint="cs"/>
          <w:rtl/>
        </w:rPr>
        <w:t xml:space="preserve">. </w:t>
      </w:r>
      <w:r w:rsidRPr="00FD5CEF">
        <w:rPr>
          <w:rFonts w:hint="cs"/>
          <w:rtl/>
        </w:rPr>
        <w:t xml:space="preserve">סכום ההפקדה </w:t>
      </w:r>
      <w:r w:rsidR="00820ABD">
        <w:rPr>
          <w:rFonts w:hint="cs"/>
          <w:rtl/>
        </w:rPr>
        <w:t>השנתי המרבי ב</w:t>
      </w:r>
      <w:r w:rsidRPr="00FD5CEF">
        <w:rPr>
          <w:rFonts w:hint="cs"/>
          <w:rtl/>
        </w:rPr>
        <w:t>חשבון ההשקעה</w:t>
      </w:r>
      <w:r>
        <w:rPr>
          <w:rFonts w:hint="cs"/>
          <w:rtl/>
        </w:rPr>
        <w:t xml:space="preserve"> יהיה</w:t>
      </w:r>
      <w:r w:rsidRPr="00FD5CEF">
        <w:rPr>
          <w:rFonts w:hint="cs"/>
          <w:rtl/>
        </w:rPr>
        <w:t xml:space="preserve"> </w:t>
      </w:r>
      <w:r>
        <w:rPr>
          <w:rFonts w:hint="cs"/>
          <w:rtl/>
        </w:rPr>
        <w:t xml:space="preserve">זהה </w:t>
      </w:r>
      <w:r w:rsidRPr="00FD5CEF">
        <w:rPr>
          <w:rFonts w:hint="cs"/>
          <w:rtl/>
        </w:rPr>
        <w:t xml:space="preserve">לסכום </w:t>
      </w:r>
      <w:r w:rsidR="00820ABD">
        <w:rPr>
          <w:rFonts w:hint="cs"/>
          <w:rtl/>
        </w:rPr>
        <w:t xml:space="preserve">השנתי </w:t>
      </w:r>
      <w:r w:rsidRPr="00FD5CEF">
        <w:rPr>
          <w:rFonts w:hint="cs"/>
          <w:rtl/>
        </w:rPr>
        <w:t>המרבי המותר להפקדה באותו פרק זמן בקופת הגמל להשקעה</w:t>
      </w:r>
      <w:r>
        <w:rPr>
          <w:rFonts w:hint="cs"/>
          <w:rtl/>
        </w:rPr>
        <w:t>.</w:t>
      </w:r>
    </w:p>
    <w:p w14:paraId="24359ACB" w14:textId="4DEECB77" w:rsidR="00024311" w:rsidRPr="000A5C97" w:rsidRDefault="00820ABD" w:rsidP="009744FC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 xml:space="preserve">כן </w:t>
      </w:r>
      <w:r w:rsidR="00BF7D0C" w:rsidRPr="00FD5CEF">
        <w:rPr>
          <w:rFonts w:hint="cs"/>
          <w:rtl/>
        </w:rPr>
        <w:t xml:space="preserve">מוצע לקבוע </w:t>
      </w:r>
      <w:r>
        <w:rPr>
          <w:rFonts w:hint="cs"/>
          <w:rtl/>
        </w:rPr>
        <w:t>ש</w:t>
      </w:r>
      <w:r w:rsidR="00BF7D0C" w:rsidRPr="00FD5CEF">
        <w:rPr>
          <w:rFonts w:hint="cs"/>
          <w:rtl/>
        </w:rPr>
        <w:t xml:space="preserve">הפעילות שתתבצע בתוך החשבון תהיה פטורה ממס. עם זאת, משיכת כספים או ניירות ערך להשקעה מחשבון ההשקעה ושמקורם ברווחים שהופקו או שנצמחו בחשבון ההשקעה, יראו אותם כרווח הון </w:t>
      </w:r>
      <w:r w:rsidR="00BF7D0C" w:rsidRPr="000A5C97">
        <w:rPr>
          <w:rFonts w:hint="eastAsia"/>
          <w:rtl/>
        </w:rPr>
        <w:t>חייב</w:t>
      </w:r>
      <w:r w:rsidR="00BF7D0C" w:rsidRPr="000A5C97">
        <w:rPr>
          <w:rtl/>
        </w:rPr>
        <w:t xml:space="preserve"> במס. </w:t>
      </w:r>
      <w:r>
        <w:rPr>
          <w:rFonts w:hint="cs"/>
          <w:rtl/>
        </w:rPr>
        <w:t>כדי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לוודא</w:t>
      </w:r>
      <w:r w:rsidR="00BF7D0C" w:rsidRPr="000A5C97">
        <w:rPr>
          <w:rtl/>
        </w:rPr>
        <w:t xml:space="preserve"> </w:t>
      </w:r>
      <w:r>
        <w:rPr>
          <w:rFonts w:hint="cs"/>
          <w:rtl/>
        </w:rPr>
        <w:t>ש</w:t>
      </w:r>
      <w:r w:rsidR="00BF7D0C" w:rsidRPr="000A5C97">
        <w:rPr>
          <w:rFonts w:hint="eastAsia"/>
          <w:rtl/>
        </w:rPr>
        <w:t>חיוב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המס</w:t>
      </w:r>
      <w:r w:rsidR="00BF7D0C" w:rsidRPr="000A5C97">
        <w:rPr>
          <w:rtl/>
        </w:rPr>
        <w:t xml:space="preserve"> </w:t>
      </w:r>
      <w:r>
        <w:rPr>
          <w:rFonts w:hint="cs"/>
          <w:rtl/>
        </w:rPr>
        <w:t>יהיה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על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הרווח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שנמשך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בלבד</w:t>
      </w:r>
      <w:r w:rsidR="00BF7D0C" w:rsidRPr="000A5C97">
        <w:rPr>
          <w:rtl/>
        </w:rPr>
        <w:t xml:space="preserve">, </w:t>
      </w:r>
      <w:r w:rsidR="00BF7D0C" w:rsidRPr="000A5C97">
        <w:rPr>
          <w:rFonts w:hint="eastAsia"/>
          <w:rtl/>
        </w:rPr>
        <w:t>מוצע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לקבוע</w:t>
      </w:r>
      <w:r w:rsidR="00BF7D0C" w:rsidRPr="000A5C97">
        <w:rPr>
          <w:rtl/>
        </w:rPr>
        <w:t xml:space="preserve"> </w:t>
      </w:r>
      <w:r>
        <w:rPr>
          <w:rFonts w:hint="cs"/>
          <w:rtl/>
        </w:rPr>
        <w:t>ש</w:t>
      </w:r>
      <w:r w:rsidR="00BF7D0C" w:rsidRPr="000A5C97">
        <w:rPr>
          <w:rFonts w:hint="eastAsia"/>
          <w:rtl/>
        </w:rPr>
        <w:t>יראו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משיכת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כספים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או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ניירות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ערך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להשקעה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כאילו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נמשכו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על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חשבון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רווח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תחילה</w:t>
      </w:r>
      <w:r>
        <w:rPr>
          <w:rFonts w:hint="cs"/>
          <w:rtl/>
        </w:rPr>
        <w:t>,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ולאחר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מכן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על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חשבון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מרכיב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הקרן</w:t>
      </w:r>
      <w:r w:rsidR="00BF7D0C" w:rsidRPr="000A5C97">
        <w:rPr>
          <w:rtl/>
        </w:rPr>
        <w:t xml:space="preserve">. </w:t>
      </w:r>
      <w:r w:rsidR="00BF7D0C" w:rsidRPr="000A5C97">
        <w:rPr>
          <w:rFonts w:hint="eastAsia"/>
          <w:rtl/>
        </w:rPr>
        <w:t>כמו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כן</w:t>
      </w:r>
      <w:r w:rsidR="00BF7D0C" w:rsidRPr="000A5C97">
        <w:rPr>
          <w:rtl/>
        </w:rPr>
        <w:t xml:space="preserve">, </w:t>
      </w:r>
      <w:r w:rsidR="00BF7D0C" w:rsidRPr="000A5C97">
        <w:rPr>
          <w:rFonts w:hint="eastAsia"/>
          <w:rtl/>
        </w:rPr>
        <w:t>יראו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את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מועד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משיכת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ניירות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הערך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מהחשבון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כיום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הרכישה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החדש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של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ניירות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הערך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ואת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שווי</w:t>
      </w:r>
      <w:r>
        <w:rPr>
          <w:rFonts w:hint="cs"/>
          <w:rtl/>
        </w:rPr>
        <w:t>י</w:t>
      </w:r>
      <w:r w:rsidR="00BF7D0C" w:rsidRPr="000A5C97">
        <w:rPr>
          <w:rFonts w:hint="eastAsia"/>
          <w:rtl/>
        </w:rPr>
        <w:t>ם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במועד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המשיכה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מהחשבון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כמחירם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המקורי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החדש</w:t>
      </w:r>
      <w:r w:rsidR="00BF7D0C" w:rsidRPr="000A5C97">
        <w:rPr>
          <w:rtl/>
        </w:rPr>
        <w:t xml:space="preserve">. </w:t>
      </w:r>
      <w:r w:rsidR="00842719">
        <w:rPr>
          <w:rFonts w:hint="cs"/>
          <w:rtl/>
        </w:rPr>
        <w:t>אם</w:t>
      </w:r>
      <w:r w:rsidR="00024311" w:rsidRPr="000A5C97">
        <w:rPr>
          <w:rtl/>
        </w:rPr>
        <w:t xml:space="preserve"> </w:t>
      </w:r>
      <w:r w:rsidR="00842719" w:rsidRPr="000A5C97">
        <w:rPr>
          <w:rFonts w:hint="cs"/>
          <w:rtl/>
        </w:rPr>
        <w:t>ייווצ</w:t>
      </w:r>
      <w:r w:rsidR="00842719" w:rsidRPr="000A5C97">
        <w:rPr>
          <w:rFonts w:hint="eastAsia"/>
          <w:rtl/>
        </w:rPr>
        <w:t>ר</w:t>
      </w:r>
      <w:r w:rsidR="00024311" w:rsidRPr="000A5C97">
        <w:rPr>
          <w:rtl/>
        </w:rPr>
        <w:t xml:space="preserve"> </w:t>
      </w:r>
      <w:r w:rsidR="00024311" w:rsidRPr="000A5C97">
        <w:rPr>
          <w:rFonts w:hint="eastAsia"/>
          <w:rtl/>
        </w:rPr>
        <w:t>הפסד</w:t>
      </w:r>
      <w:r w:rsidR="00024311" w:rsidRPr="000A5C97">
        <w:rPr>
          <w:rtl/>
        </w:rPr>
        <w:t xml:space="preserve"> </w:t>
      </w:r>
      <w:r w:rsidR="00024311" w:rsidRPr="000A5C97">
        <w:rPr>
          <w:rFonts w:hint="eastAsia"/>
          <w:rtl/>
        </w:rPr>
        <w:t>ממשיכת</w:t>
      </w:r>
      <w:r w:rsidR="00024311" w:rsidRPr="000A5C97">
        <w:rPr>
          <w:rtl/>
        </w:rPr>
        <w:t xml:space="preserve"> </w:t>
      </w:r>
      <w:r w:rsidR="00024311" w:rsidRPr="000A5C97">
        <w:rPr>
          <w:rFonts w:hint="eastAsia"/>
          <w:rtl/>
        </w:rPr>
        <w:t>כספים</w:t>
      </w:r>
      <w:r w:rsidR="00024311" w:rsidRPr="000A5C97">
        <w:rPr>
          <w:rtl/>
        </w:rPr>
        <w:t xml:space="preserve"> </w:t>
      </w:r>
      <w:r w:rsidR="00024311" w:rsidRPr="000A5C97">
        <w:rPr>
          <w:rFonts w:hint="eastAsia"/>
          <w:rtl/>
        </w:rPr>
        <w:t>מהחשבון</w:t>
      </w:r>
      <w:r w:rsidR="00024311" w:rsidRPr="000A5C97">
        <w:rPr>
          <w:rtl/>
        </w:rPr>
        <w:t xml:space="preserve">, </w:t>
      </w:r>
      <w:r w:rsidR="00024311" w:rsidRPr="000A5C97">
        <w:rPr>
          <w:rFonts w:hint="eastAsia"/>
          <w:rtl/>
        </w:rPr>
        <w:t>ייחשב</w:t>
      </w:r>
      <w:r w:rsidR="00024311" w:rsidRPr="000A5C97">
        <w:rPr>
          <w:rtl/>
        </w:rPr>
        <w:t xml:space="preserve"> </w:t>
      </w:r>
      <w:r w:rsidR="00024311" w:rsidRPr="000A5C97">
        <w:rPr>
          <w:rFonts w:hint="eastAsia"/>
          <w:rtl/>
        </w:rPr>
        <w:t>הפסד</w:t>
      </w:r>
      <w:r w:rsidR="00024311" w:rsidRPr="000A5C97">
        <w:rPr>
          <w:rtl/>
        </w:rPr>
        <w:t xml:space="preserve"> </w:t>
      </w:r>
      <w:r w:rsidR="00024311" w:rsidRPr="000A5C97">
        <w:rPr>
          <w:rFonts w:hint="eastAsia"/>
          <w:rtl/>
        </w:rPr>
        <w:t>זה</w:t>
      </w:r>
      <w:r w:rsidR="00024311" w:rsidRPr="000A5C97">
        <w:rPr>
          <w:rtl/>
        </w:rPr>
        <w:t xml:space="preserve"> </w:t>
      </w:r>
      <w:r w:rsidR="00024311" w:rsidRPr="000A5C97">
        <w:rPr>
          <w:rFonts w:hint="eastAsia"/>
          <w:rtl/>
        </w:rPr>
        <w:t>כהפסד</w:t>
      </w:r>
      <w:r w:rsidR="00024311" w:rsidRPr="000A5C97">
        <w:rPr>
          <w:rtl/>
        </w:rPr>
        <w:t xml:space="preserve"> </w:t>
      </w:r>
      <w:r w:rsidR="00024311" w:rsidRPr="000A5C97">
        <w:rPr>
          <w:rFonts w:hint="eastAsia"/>
          <w:rtl/>
        </w:rPr>
        <w:t>הון</w:t>
      </w:r>
      <w:r w:rsidR="00024311" w:rsidRPr="000A5C97">
        <w:rPr>
          <w:rtl/>
        </w:rPr>
        <w:t xml:space="preserve"> </w:t>
      </w:r>
      <w:r w:rsidR="00024311" w:rsidRPr="000A5C97">
        <w:rPr>
          <w:rFonts w:hint="eastAsia"/>
          <w:rtl/>
        </w:rPr>
        <w:t>ממכירת</w:t>
      </w:r>
      <w:r w:rsidR="00024311" w:rsidRPr="000A5C97">
        <w:rPr>
          <w:rtl/>
        </w:rPr>
        <w:t xml:space="preserve"> </w:t>
      </w:r>
      <w:r w:rsidR="00024311" w:rsidRPr="000A5C97">
        <w:rPr>
          <w:rFonts w:hint="eastAsia"/>
          <w:rtl/>
        </w:rPr>
        <w:t>נייר</w:t>
      </w:r>
      <w:r w:rsidR="00024311" w:rsidRPr="000A5C97">
        <w:rPr>
          <w:rtl/>
        </w:rPr>
        <w:t xml:space="preserve"> </w:t>
      </w:r>
      <w:r w:rsidR="00024311" w:rsidRPr="000A5C97">
        <w:rPr>
          <w:rFonts w:hint="eastAsia"/>
          <w:rtl/>
        </w:rPr>
        <w:t>ערך</w:t>
      </w:r>
      <w:r w:rsidR="00024311" w:rsidRPr="000A5C97">
        <w:rPr>
          <w:rtl/>
        </w:rPr>
        <w:t xml:space="preserve"> </w:t>
      </w:r>
      <w:r w:rsidR="00024311" w:rsidRPr="000A5C97">
        <w:rPr>
          <w:rFonts w:hint="eastAsia"/>
          <w:rtl/>
        </w:rPr>
        <w:t>לעניין</w:t>
      </w:r>
      <w:r w:rsidR="00024311" w:rsidRPr="000A5C97">
        <w:rPr>
          <w:rtl/>
        </w:rPr>
        <w:t xml:space="preserve"> </w:t>
      </w:r>
      <w:r w:rsidR="00024311" w:rsidRPr="000A5C97">
        <w:rPr>
          <w:rFonts w:hint="eastAsia"/>
          <w:rtl/>
        </w:rPr>
        <w:t>סעיף</w:t>
      </w:r>
      <w:r w:rsidR="00024311" w:rsidRPr="000A5C97">
        <w:rPr>
          <w:rtl/>
        </w:rPr>
        <w:t xml:space="preserve"> 92 </w:t>
      </w:r>
      <w:r w:rsidR="00024311" w:rsidRPr="000A5C97">
        <w:rPr>
          <w:rFonts w:hint="eastAsia"/>
          <w:rtl/>
        </w:rPr>
        <w:t>לפקודת</w:t>
      </w:r>
      <w:r w:rsidR="00024311" w:rsidRPr="000A5C97">
        <w:rPr>
          <w:rtl/>
        </w:rPr>
        <w:t xml:space="preserve"> </w:t>
      </w:r>
      <w:r w:rsidR="00024311" w:rsidRPr="000A5C97">
        <w:rPr>
          <w:rFonts w:hint="eastAsia"/>
          <w:rtl/>
        </w:rPr>
        <w:t>מס</w:t>
      </w:r>
      <w:r w:rsidR="00024311" w:rsidRPr="000A5C97">
        <w:rPr>
          <w:rtl/>
        </w:rPr>
        <w:t xml:space="preserve"> </w:t>
      </w:r>
      <w:r w:rsidR="00024311" w:rsidRPr="000A5C97">
        <w:rPr>
          <w:rFonts w:hint="eastAsia"/>
          <w:rtl/>
        </w:rPr>
        <w:t>הכנסה</w:t>
      </w:r>
      <w:r w:rsidR="00BF7D0C" w:rsidRPr="000A5C97">
        <w:rPr>
          <w:rtl/>
        </w:rPr>
        <w:t>.</w:t>
      </w:r>
    </w:p>
    <w:p w14:paraId="3B3F425E" w14:textId="48359E10" w:rsidR="00024311" w:rsidRDefault="00820ABD" w:rsidP="009744FC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>כדי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לעודד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את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ציבור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החוסכים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למשוך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את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כספי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החשבון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כקצבה</w:t>
      </w:r>
      <w:r w:rsidR="00BF7D0C" w:rsidRPr="000A5C97">
        <w:rPr>
          <w:rtl/>
        </w:rPr>
        <w:t xml:space="preserve">, </w:t>
      </w:r>
      <w:r w:rsidR="00BF7D0C" w:rsidRPr="000A5C97">
        <w:rPr>
          <w:rFonts w:hint="eastAsia"/>
          <w:rtl/>
        </w:rPr>
        <w:t>מוצע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שלא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לחייב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במס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רווח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הון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העברת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כספים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או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ניירות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ערך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להשקעה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בין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חשבונות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השקעה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בבעלות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אותו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יחיד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או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בהעברת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כספים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או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ניירות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ערך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להשקעה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מחשבון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השקעה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בבעלות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אותו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יחיד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או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בהעברת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כספים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או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ניירות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ערך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להשקעה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מחשבון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השקעה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לקופת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גמל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לקצבה</w:t>
      </w:r>
      <w:r w:rsidR="00842719">
        <w:rPr>
          <w:rFonts w:hint="cs"/>
          <w:rtl/>
        </w:rPr>
        <w:t xml:space="preserve"> או לקופת גמל להשקעה וכן לאפשר העברה כאמור מקופת גמל להשקעה לחשבון השקעה</w:t>
      </w:r>
      <w:r w:rsidR="00BF7D0C" w:rsidRPr="000A5C97">
        <w:rPr>
          <w:rtl/>
        </w:rPr>
        <w:t xml:space="preserve">. </w:t>
      </w:r>
      <w:r w:rsidR="00BF7D0C" w:rsidRPr="000A5C97">
        <w:rPr>
          <w:rFonts w:hint="eastAsia"/>
          <w:rtl/>
        </w:rPr>
        <w:t>בנוסף</w:t>
      </w:r>
      <w:r w:rsidR="00BF7D0C" w:rsidRPr="000A5C97">
        <w:rPr>
          <w:rtl/>
        </w:rPr>
        <w:t xml:space="preserve">, </w:t>
      </w:r>
      <w:r w:rsidR="00BF7D0C" w:rsidRPr="000A5C97">
        <w:rPr>
          <w:rFonts w:hint="eastAsia"/>
          <w:rtl/>
        </w:rPr>
        <w:t>מוצע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לקבוע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כי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קבלת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הפטור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מותנית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בכך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שההכנסה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מניירות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הערך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להשקעה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בידי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היחיד</w:t>
      </w:r>
      <w:r w:rsidR="00BF7D0C" w:rsidRPr="000A5C97">
        <w:rPr>
          <w:rtl/>
        </w:rPr>
        <w:t xml:space="preserve"> </w:t>
      </w:r>
      <w:r>
        <w:rPr>
          <w:rFonts w:hint="cs"/>
          <w:rtl/>
        </w:rPr>
        <w:t>היא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הכנסה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הונית</w:t>
      </w:r>
      <w:r w:rsidR="00BF7D0C" w:rsidRPr="000A5C97">
        <w:rPr>
          <w:rtl/>
        </w:rPr>
        <w:t xml:space="preserve"> </w:t>
      </w:r>
      <w:r w:rsidR="00BF7D0C" w:rsidRPr="000A5C97">
        <w:rPr>
          <w:rFonts w:hint="eastAsia"/>
          <w:rtl/>
        </w:rPr>
        <w:t>בידיו</w:t>
      </w:r>
      <w:r w:rsidR="00BF7D0C" w:rsidRPr="000A5C97">
        <w:rPr>
          <w:rtl/>
        </w:rPr>
        <w:t>.</w:t>
      </w:r>
    </w:p>
    <w:p w14:paraId="7F6961CB" w14:textId="4BFCDC9F" w:rsidR="00E13C27" w:rsidRDefault="00842719" w:rsidP="009744FC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>לבסוף</w:t>
      </w:r>
      <w:r w:rsidR="00820ABD">
        <w:rPr>
          <w:rFonts w:hint="cs"/>
          <w:rtl/>
        </w:rPr>
        <w:t>, מוצע לקבוע ששר האוצר, באישור ועדת הכספים של הכנסת, רשאי לקבוע הוראות לעניין חשבו</w:t>
      </w:r>
      <w:r>
        <w:rPr>
          <w:rFonts w:hint="cs"/>
          <w:rtl/>
        </w:rPr>
        <w:t>ן השקעה, לרבות לעניין דמי הניהול והעמלות בגין ניהול חשבון השקעה.</w:t>
      </w:r>
    </w:p>
    <w:p w14:paraId="6C48ADA4" w14:textId="77777777" w:rsidR="009744FC" w:rsidRDefault="009744FC" w:rsidP="009744FC">
      <w:pPr>
        <w:pStyle w:val="Hesber"/>
        <w:spacing w:line="276" w:lineRule="auto"/>
        <w:rPr>
          <w:rtl/>
        </w:rPr>
      </w:pPr>
      <w:bookmarkStart w:id="8" w:name="_GoBack"/>
      <w:bookmarkEnd w:id="8"/>
    </w:p>
    <w:p w14:paraId="1B0DEA04" w14:textId="3B87FA44" w:rsidR="009744FC" w:rsidRDefault="009744FC" w:rsidP="009744FC">
      <w:pPr>
        <w:pStyle w:val="Hesber"/>
        <w:spacing w:line="276" w:lineRule="auto"/>
        <w:rPr>
          <w:rtl/>
        </w:rPr>
      </w:pPr>
    </w:p>
    <w:p w14:paraId="166EF803" w14:textId="77777777" w:rsidR="009744FC" w:rsidRPr="00D73212" w:rsidRDefault="009744FC" w:rsidP="009744FC">
      <w:pPr>
        <w:pStyle w:val="Hesber"/>
        <w:spacing w:line="276" w:lineRule="auto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3A2D483B" w14:textId="77777777" w:rsidR="009744FC" w:rsidRPr="00D73212" w:rsidRDefault="009744FC" w:rsidP="009744FC">
      <w:pPr>
        <w:pStyle w:val="Hesber"/>
        <w:spacing w:line="276" w:lineRule="auto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7638E1A9" w14:textId="77777777" w:rsidR="009744FC" w:rsidRPr="00D73212" w:rsidRDefault="009744FC" w:rsidP="009744FC">
      <w:pPr>
        <w:pStyle w:val="Hesber"/>
        <w:spacing w:line="276" w:lineRule="auto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7F36159D" w14:textId="77777777" w:rsidR="009744FC" w:rsidRPr="00317312" w:rsidRDefault="009744FC" w:rsidP="009744FC">
      <w:pPr>
        <w:pStyle w:val="Hesber"/>
        <w:spacing w:line="276" w:lineRule="auto"/>
      </w:pPr>
      <w:r>
        <w:rPr>
          <w:rFonts w:hint="cs"/>
          <w:color w:val="auto"/>
          <w:rtl/>
          <w:lang w:eastAsia="en-US"/>
        </w:rPr>
        <w:t>י"ח בטבת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ז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16.1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17</w:t>
      </w:r>
    </w:p>
    <w:p w14:paraId="2CB1C965" w14:textId="77777777" w:rsidR="009744FC" w:rsidRPr="00FD5CEF" w:rsidRDefault="009744FC" w:rsidP="00842719">
      <w:pPr>
        <w:pStyle w:val="Hesber"/>
        <w:rPr>
          <w:rtl/>
        </w:rPr>
      </w:pPr>
    </w:p>
    <w:sectPr w:rsidR="009744FC" w:rsidRPr="00FD5CEF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a"/>
      <w:framePr w:wrap="around" w:vAnchor="text" w:hAnchor="text" w:xAlign="center" w:y="1"/>
      <w:rPr>
        <w:rStyle w:val="ac"/>
      </w:rPr>
    </w:pPr>
    <w:r>
      <w:rPr>
        <w:rStyle w:val="ac"/>
        <w:rtl/>
      </w:rPr>
      <w:fldChar w:fldCharType="begin"/>
    </w:r>
    <w:r>
      <w:rPr>
        <w:rStyle w:val="ac"/>
      </w:rPr>
      <w:instrText xml:space="preserve">PAGE  </w:instrText>
    </w:r>
    <w:r>
      <w:rPr>
        <w:rStyle w:val="ac"/>
        <w:rtl/>
      </w:rPr>
      <w:fldChar w:fldCharType="end"/>
    </w:r>
  </w:p>
  <w:p w14:paraId="7F6961D6" w14:textId="77777777" w:rsidR="002C3041" w:rsidRDefault="002C304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a"/>
      <w:framePr w:wrap="around" w:vAnchor="text" w:hAnchor="text" w:xAlign="center" w:y="1"/>
      <w:rPr>
        <w:rStyle w:val="ac"/>
      </w:rPr>
    </w:pPr>
    <w:r>
      <w:rPr>
        <w:rStyle w:val="ac"/>
        <w:rtl/>
      </w:rPr>
      <w:fldChar w:fldCharType="begin"/>
    </w:r>
    <w:r>
      <w:rPr>
        <w:rStyle w:val="ac"/>
      </w:rPr>
      <w:instrText xml:space="preserve">PAGE  </w:instrText>
    </w:r>
    <w:r>
      <w:rPr>
        <w:rStyle w:val="ac"/>
        <w:rtl/>
      </w:rPr>
      <w:fldChar w:fldCharType="separate"/>
    </w:r>
    <w:r w:rsidR="009744FC">
      <w:rPr>
        <w:rStyle w:val="ac"/>
        <w:noProof/>
        <w:rtl/>
      </w:rPr>
      <w:t>2</w:t>
    </w:r>
    <w:r>
      <w:rPr>
        <w:rStyle w:val="ac"/>
        <w:rtl/>
      </w:rPr>
      <w:fldChar w:fldCharType="end"/>
    </w:r>
  </w:p>
  <w:p w14:paraId="7F6961D8" w14:textId="77777777" w:rsidR="002C3041" w:rsidRDefault="002C30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32F8E989" w14:textId="5BA02CB7" w:rsidR="00411627" w:rsidRDefault="00411627" w:rsidP="004543E4">
      <w:pPr>
        <w:pStyle w:val="a5"/>
      </w:pPr>
      <w:r>
        <w:rPr>
          <w:rStyle w:val="a7"/>
        </w:rPr>
        <w:footnoteRef/>
      </w:r>
      <w:r>
        <w:rPr>
          <w:rtl/>
        </w:rPr>
        <w:t xml:space="preserve"> דיני מדינת ישראל, נוסח חדש 6, עמ' 120.</w:t>
      </w:r>
      <w:r w:rsidRPr="00DB4956">
        <w:rPr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54A09"/>
    <w:multiLevelType w:val="hybridMultilevel"/>
    <w:tmpl w:val="22020C10"/>
    <w:lvl w:ilvl="0" w:tplc="A26A59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A45E2"/>
    <w:multiLevelType w:val="hybridMultilevel"/>
    <w:tmpl w:val="2F761AA0"/>
    <w:lvl w:ilvl="0" w:tplc="A26A59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24311"/>
    <w:rsid w:val="00063A3E"/>
    <w:rsid w:val="00072CAC"/>
    <w:rsid w:val="0007681A"/>
    <w:rsid w:val="000A542E"/>
    <w:rsid w:val="000A5C97"/>
    <w:rsid w:val="000B63F2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871CC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47E24"/>
    <w:rsid w:val="0036422C"/>
    <w:rsid w:val="003710F6"/>
    <w:rsid w:val="00386E88"/>
    <w:rsid w:val="00396585"/>
    <w:rsid w:val="003B70B3"/>
    <w:rsid w:val="003D6E38"/>
    <w:rsid w:val="003D74A0"/>
    <w:rsid w:val="004033D8"/>
    <w:rsid w:val="004073F0"/>
    <w:rsid w:val="00411627"/>
    <w:rsid w:val="00412A7D"/>
    <w:rsid w:val="00416B4D"/>
    <w:rsid w:val="00417CFC"/>
    <w:rsid w:val="004543E4"/>
    <w:rsid w:val="004874BD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C51DD"/>
    <w:rsid w:val="005D51AE"/>
    <w:rsid w:val="0062674B"/>
    <w:rsid w:val="006363B2"/>
    <w:rsid w:val="00644940"/>
    <w:rsid w:val="0067165D"/>
    <w:rsid w:val="006818A9"/>
    <w:rsid w:val="006A2D81"/>
    <w:rsid w:val="006C1D0D"/>
    <w:rsid w:val="0070601E"/>
    <w:rsid w:val="00712C72"/>
    <w:rsid w:val="00735FE9"/>
    <w:rsid w:val="00763CAA"/>
    <w:rsid w:val="00765F66"/>
    <w:rsid w:val="00767E37"/>
    <w:rsid w:val="0078664F"/>
    <w:rsid w:val="007C3FA6"/>
    <w:rsid w:val="007D585A"/>
    <w:rsid w:val="007D5A12"/>
    <w:rsid w:val="007E59F9"/>
    <w:rsid w:val="00810BCD"/>
    <w:rsid w:val="00812C98"/>
    <w:rsid w:val="00814D92"/>
    <w:rsid w:val="00820ABD"/>
    <w:rsid w:val="0083181D"/>
    <w:rsid w:val="00842719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744FC"/>
    <w:rsid w:val="00982412"/>
    <w:rsid w:val="00983A8D"/>
    <w:rsid w:val="009A0DB8"/>
    <w:rsid w:val="009A7257"/>
    <w:rsid w:val="009D1FCF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1E9B"/>
    <w:rsid w:val="00B35784"/>
    <w:rsid w:val="00B733A7"/>
    <w:rsid w:val="00B75C91"/>
    <w:rsid w:val="00B975AD"/>
    <w:rsid w:val="00BC45FB"/>
    <w:rsid w:val="00BF148D"/>
    <w:rsid w:val="00BF7D0C"/>
    <w:rsid w:val="00C23B1A"/>
    <w:rsid w:val="00C310EB"/>
    <w:rsid w:val="00C9176A"/>
    <w:rsid w:val="00CF1AA2"/>
    <w:rsid w:val="00D1683C"/>
    <w:rsid w:val="00D17774"/>
    <w:rsid w:val="00D63620"/>
    <w:rsid w:val="00D8410D"/>
    <w:rsid w:val="00D867D7"/>
    <w:rsid w:val="00D9560F"/>
    <w:rsid w:val="00DB7060"/>
    <w:rsid w:val="00DE3153"/>
    <w:rsid w:val="00E036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97206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  <w:rsid w:val="00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link w:val="a4"/>
    <w:uiPriority w:val="99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5">
    <w:name w:val="footnote text"/>
    <w:basedOn w:val="a"/>
    <w:link w:val="a6"/>
    <w:autoRedefine/>
    <w:uiPriority w:val="99"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7">
    <w:name w:val="footnote reference"/>
    <w:basedOn w:val="a0"/>
    <w:uiPriority w:val="99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8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9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b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c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d">
    <w:name w:val="Balloon Text"/>
    <w:basedOn w:val="a"/>
    <w:link w:val="ae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6">
    <w:name w:val="טקסט הערת שוליים תו"/>
    <w:basedOn w:val="a0"/>
    <w:link w:val="a5"/>
    <w:uiPriority w:val="99"/>
    <w:semiHidden/>
    <w:locked/>
    <w:rsid w:val="00411627"/>
    <w:rPr>
      <w:rFonts w:ascii="Arial" w:eastAsia="Arial Unicode MS" w:hAnsi="Arial" w:cs="David"/>
      <w:snapToGrid w:val="0"/>
      <w:color w:val="000000"/>
      <w:sz w:val="14"/>
      <w:lang w:eastAsia="ja-JP"/>
    </w:rPr>
  </w:style>
  <w:style w:type="character" w:customStyle="1" w:styleId="a4">
    <w:name w:val="טקסט הערת סיום תו"/>
    <w:basedOn w:val="a0"/>
    <w:link w:val="a3"/>
    <w:uiPriority w:val="99"/>
    <w:semiHidden/>
    <w:locked/>
    <w:rsid w:val="00411627"/>
    <w:rPr>
      <w:rFonts w:ascii="Hadasa Roso SL" w:hAnsi="Hadasa Roso SL" w:cs="Hadasa Roso SL"/>
      <w:color w:val="000000"/>
      <w:spacing w:val="1"/>
      <w:sz w:val="14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B428-2144-4388-8EEB-BA7C5B3B3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C3E0ED-26F5-45E6-A678-4FD859A2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646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19</cp:revision>
  <cp:lastPrinted>2017-01-12T09:09:00Z</cp:lastPrinted>
  <dcterms:created xsi:type="dcterms:W3CDTF">2015-04-20T09:58:00Z</dcterms:created>
  <dcterms:modified xsi:type="dcterms:W3CDTF">2017-01-12T09:09:00Z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2010472</vt:r8>
  </property>
</Properties>
</file>