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2010477</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מכלוף מיקי זוהר</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פ/3602/20</w:t>
      </w:r>
      <w:bookmarkEnd w:id="6"/>
    </w:p>
    <w:p w14:paraId="7F6961AC" w14:textId="77777777" w:rsidR="00E13C27" w:rsidRDefault="00E13C27" w:rsidP="00E13C27">
      <w:pPr>
        <w:spacing w:before="0" w:line="360" w:lineRule="auto"/>
        <w:ind w:left="2880" w:firstLine="720"/>
        <w:rPr>
          <w:rFonts w:cs="David"/>
          <w:sz w:val="26"/>
          <w:szCs w:val="26"/>
          <w:rtl/>
        </w:rPr>
      </w:pPr>
    </w:p>
    <w:p w14:paraId="7F6961AD" w14:textId="77777777" w:rsidR="00E13C27" w:rsidRPr="00F67051" w:rsidRDefault="00A443CF" w:rsidP="0021633A">
      <w:pPr>
        <w:pStyle w:val="HeadHatzaotHok"/>
        <w:rPr>
          <w:rtl/>
        </w:rPr>
      </w:pPr>
      <w:bookmarkStart w:id="7" w:name="LGS_Subject"/>
      <w:r>
        <w:rPr>
          <w:rFonts w:hint="cs"/>
          <w:rtl/>
        </w:rPr>
        <w:t>הצעת חוק התקשורת (בזק ושידורים) (תיקון –  סינון אתרי הימורים ותכנים המציגים דברי תועבה באינטרנט), התשע"ז–2016</w:t>
      </w:r>
      <w:bookmarkEnd w:id="7"/>
    </w:p>
    <w:p w14:paraId="7F6961AE" w14:textId="77777777" w:rsidR="00E13C27" w:rsidRDefault="00E13C27" w:rsidP="0021633A">
      <w:pPr>
        <w:pStyle w:val="HeadDivreiHesber"/>
        <w:spacing w:before="0" w:after="0"/>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5274"/>
      </w:tblGrid>
      <w:tr w:rsidR="00916F9B" w14:paraId="16AC2BCF" w14:textId="77777777" w:rsidTr="002C3041">
        <w:trPr>
          <w:cantSplit/>
          <w:trHeight w:val="60"/>
        </w:trPr>
        <w:tc>
          <w:tcPr>
            <w:tcW w:w="1871" w:type="dxa"/>
          </w:tcPr>
          <w:p w14:paraId="1AB62BA1" w14:textId="7DB8CB6B" w:rsidR="00916F9B" w:rsidRDefault="00E459BD" w:rsidP="00081238">
            <w:pPr>
              <w:pStyle w:val="TableSideHeading"/>
              <w:keepLines w:val="0"/>
              <w:rPr>
                <w:rtl/>
              </w:rPr>
            </w:pPr>
            <w:r>
              <w:rPr>
                <w:rFonts w:hint="cs"/>
                <w:rtl/>
              </w:rPr>
              <w:t>תיקון סעיף 4ט</w:t>
            </w:r>
          </w:p>
        </w:tc>
        <w:tc>
          <w:tcPr>
            <w:tcW w:w="624" w:type="dxa"/>
          </w:tcPr>
          <w:p w14:paraId="59B472F6" w14:textId="7C282CBF" w:rsidR="00916F9B" w:rsidRDefault="00E459BD" w:rsidP="009E17E5">
            <w:pPr>
              <w:pStyle w:val="TableText"/>
            </w:pPr>
            <w:r>
              <w:rPr>
                <w:rFonts w:hint="cs"/>
                <w:rtl/>
              </w:rPr>
              <w:t>1.</w:t>
            </w:r>
          </w:p>
        </w:tc>
        <w:tc>
          <w:tcPr>
            <w:tcW w:w="7146" w:type="dxa"/>
            <w:gridSpan w:val="4"/>
          </w:tcPr>
          <w:p w14:paraId="7AAB3F66" w14:textId="383BADDF" w:rsidR="00916F9B" w:rsidRDefault="00E459BD" w:rsidP="009E17E5">
            <w:pPr>
              <w:pStyle w:val="TableSideHeading"/>
              <w:keepLines w:val="0"/>
              <w:jc w:val="both"/>
              <w:rPr>
                <w:rtl/>
              </w:rPr>
            </w:pPr>
            <w:r>
              <w:rPr>
                <w:sz w:val="26"/>
                <w:rtl/>
              </w:rPr>
              <w:t>בחוק התקשורת (בזק ושידורים), התשמ"ב–1982</w:t>
            </w:r>
            <w:r>
              <w:rPr>
                <w:rStyle w:val="a5"/>
                <w:sz w:val="26"/>
                <w:rtl/>
              </w:rPr>
              <w:footnoteReference w:id="2"/>
            </w:r>
            <w:r>
              <w:rPr>
                <w:rFonts w:hint="cs"/>
                <w:sz w:val="26"/>
                <w:rtl/>
              </w:rPr>
              <w:t xml:space="preserve"> (להלן </w:t>
            </w:r>
            <w:r>
              <w:rPr>
                <w:sz w:val="26"/>
                <w:rtl/>
              </w:rPr>
              <w:t>–</w:t>
            </w:r>
            <w:r>
              <w:rPr>
                <w:rFonts w:hint="cs"/>
                <w:sz w:val="26"/>
                <w:rtl/>
              </w:rPr>
              <w:t xml:space="preserve"> החוק העיקרי</w:t>
            </w:r>
            <w:r>
              <w:rPr>
                <w:rFonts w:hint="cs"/>
                <w:rtl/>
              </w:rPr>
              <w:t>), בסעיף 4ט</w:t>
            </w:r>
            <w:r w:rsidR="003C6301">
              <w:rPr>
                <w:rFonts w:hint="cs"/>
                <w:rtl/>
              </w:rPr>
              <w:t xml:space="preserve"> </w:t>
            </w:r>
            <w:r>
              <w:rPr>
                <w:rFonts w:hint="eastAsia"/>
                <w:rtl/>
              </w:rPr>
              <w:t>–</w:t>
            </w:r>
          </w:p>
        </w:tc>
      </w:tr>
      <w:tr w:rsidR="002925E4" w14:paraId="1454E32F" w14:textId="77777777" w:rsidTr="002C3041">
        <w:trPr>
          <w:cantSplit/>
          <w:trHeight w:val="60"/>
        </w:trPr>
        <w:tc>
          <w:tcPr>
            <w:tcW w:w="1871" w:type="dxa"/>
          </w:tcPr>
          <w:p w14:paraId="7FA4F10E" w14:textId="74B00C55" w:rsidR="002925E4" w:rsidRDefault="002925E4" w:rsidP="002925E4">
            <w:pPr>
              <w:pStyle w:val="TableSideHeading"/>
              <w:keepLines w:val="0"/>
              <w:rPr>
                <w:sz w:val="26"/>
                <w:rtl/>
              </w:rPr>
            </w:pPr>
          </w:p>
        </w:tc>
        <w:tc>
          <w:tcPr>
            <w:tcW w:w="624" w:type="dxa"/>
          </w:tcPr>
          <w:p w14:paraId="75C09461" w14:textId="77777777" w:rsidR="002925E4" w:rsidRDefault="002925E4" w:rsidP="002925E4">
            <w:pPr>
              <w:pStyle w:val="TableText"/>
              <w:keepLines w:val="0"/>
              <w:rPr>
                <w:sz w:val="26"/>
                <w:rtl/>
              </w:rPr>
            </w:pPr>
          </w:p>
        </w:tc>
        <w:tc>
          <w:tcPr>
            <w:tcW w:w="7146" w:type="dxa"/>
            <w:gridSpan w:val="4"/>
          </w:tcPr>
          <w:p w14:paraId="78093576" w14:textId="284E7A77" w:rsidR="002925E4" w:rsidRDefault="002925E4" w:rsidP="009E17E5">
            <w:pPr>
              <w:pStyle w:val="TableBlock"/>
              <w:keepLines w:val="0"/>
              <w:rPr>
                <w:sz w:val="26"/>
                <w:rtl/>
              </w:rPr>
            </w:pPr>
            <w:r w:rsidRPr="002546B6">
              <w:rPr>
                <w:sz w:val="26"/>
                <w:rtl/>
              </w:rPr>
              <w:t>(</w:t>
            </w:r>
            <w:r w:rsidR="003C6301">
              <w:rPr>
                <w:rFonts w:hint="cs"/>
                <w:sz w:val="26"/>
                <w:rtl/>
              </w:rPr>
              <w:t>1</w:t>
            </w:r>
            <w:r w:rsidRPr="002546B6">
              <w:rPr>
                <w:sz w:val="26"/>
                <w:rtl/>
              </w:rPr>
              <w:t>)</w:t>
            </w:r>
            <w:r w:rsidRPr="002546B6">
              <w:rPr>
                <w:sz w:val="26"/>
                <w:rtl/>
              </w:rPr>
              <w:tab/>
              <w:t>בסעיף קטן (א), ב</w:t>
            </w:r>
            <w:r w:rsidR="003C6301">
              <w:rPr>
                <w:rFonts w:hint="cs"/>
                <w:sz w:val="26"/>
                <w:rtl/>
              </w:rPr>
              <w:t>ה</w:t>
            </w:r>
            <w:r w:rsidRPr="002546B6">
              <w:rPr>
                <w:sz w:val="26"/>
                <w:rtl/>
              </w:rPr>
              <w:t>גדרה "תוכן פוגעני" –</w:t>
            </w:r>
          </w:p>
        </w:tc>
      </w:tr>
      <w:tr w:rsidR="0078079E" w14:paraId="62505018" w14:textId="77777777">
        <w:trPr>
          <w:cantSplit/>
          <w:trHeight w:val="60"/>
        </w:trPr>
        <w:tc>
          <w:tcPr>
            <w:tcW w:w="1871" w:type="dxa"/>
          </w:tcPr>
          <w:p w14:paraId="7AFC81C9" w14:textId="77777777" w:rsidR="0078079E" w:rsidRDefault="0078079E">
            <w:pPr>
              <w:pStyle w:val="TableSideHeading"/>
            </w:pPr>
          </w:p>
        </w:tc>
        <w:tc>
          <w:tcPr>
            <w:tcW w:w="624" w:type="dxa"/>
          </w:tcPr>
          <w:p w14:paraId="440C042A" w14:textId="77777777" w:rsidR="0078079E" w:rsidRDefault="0078079E">
            <w:pPr>
              <w:pStyle w:val="TableText"/>
            </w:pPr>
          </w:p>
        </w:tc>
        <w:tc>
          <w:tcPr>
            <w:tcW w:w="624" w:type="dxa"/>
          </w:tcPr>
          <w:p w14:paraId="1C089ABF" w14:textId="77777777" w:rsidR="0078079E" w:rsidRDefault="0078079E">
            <w:pPr>
              <w:pStyle w:val="TableText"/>
            </w:pPr>
          </w:p>
        </w:tc>
        <w:tc>
          <w:tcPr>
            <w:tcW w:w="6522" w:type="dxa"/>
            <w:gridSpan w:val="3"/>
          </w:tcPr>
          <w:p w14:paraId="112562E9" w14:textId="7E690F93" w:rsidR="0078079E" w:rsidRDefault="0078079E">
            <w:pPr>
              <w:pStyle w:val="TableBlock"/>
            </w:pPr>
            <w:r>
              <w:rPr>
                <w:rFonts w:hint="cs"/>
                <w:rtl/>
              </w:rPr>
              <w:t>(א)</w:t>
            </w:r>
            <w:r>
              <w:rPr>
                <w:rtl/>
              </w:rPr>
              <w:tab/>
            </w:r>
            <w:r>
              <w:rPr>
                <w:rFonts w:hint="cs"/>
                <w:rtl/>
              </w:rPr>
              <w:t xml:space="preserve">בפסקה </w:t>
            </w:r>
            <w:r w:rsidR="003C6301">
              <w:rPr>
                <w:rFonts w:hint="cs"/>
                <w:rtl/>
              </w:rPr>
              <w:t>(</w:t>
            </w:r>
            <w:r>
              <w:rPr>
                <w:rFonts w:hint="cs"/>
                <w:rtl/>
              </w:rPr>
              <w:t>1</w:t>
            </w:r>
            <w:r w:rsidR="003C6301">
              <w:rPr>
                <w:rFonts w:hint="cs"/>
                <w:rtl/>
              </w:rPr>
              <w:t>)</w:t>
            </w:r>
            <w:r>
              <w:rPr>
                <w:rFonts w:hint="cs"/>
                <w:rtl/>
              </w:rPr>
              <w:t xml:space="preserve"> </w:t>
            </w:r>
            <w:r>
              <w:rPr>
                <w:rFonts w:hint="eastAsia"/>
                <w:rtl/>
              </w:rPr>
              <w:t>–</w:t>
            </w:r>
          </w:p>
        </w:tc>
      </w:tr>
      <w:tr w:rsidR="0078079E" w14:paraId="57E5BB2D" w14:textId="77777777">
        <w:trPr>
          <w:cantSplit/>
          <w:trHeight w:val="60"/>
        </w:trPr>
        <w:tc>
          <w:tcPr>
            <w:tcW w:w="1871" w:type="dxa"/>
          </w:tcPr>
          <w:p w14:paraId="729360BB" w14:textId="77777777" w:rsidR="0078079E" w:rsidRDefault="0078079E">
            <w:pPr>
              <w:pStyle w:val="TableSideHeading"/>
            </w:pPr>
          </w:p>
        </w:tc>
        <w:tc>
          <w:tcPr>
            <w:tcW w:w="624" w:type="dxa"/>
          </w:tcPr>
          <w:p w14:paraId="1AF2DA26" w14:textId="77777777" w:rsidR="0078079E" w:rsidRDefault="0078079E">
            <w:pPr>
              <w:pStyle w:val="TableText"/>
            </w:pPr>
          </w:p>
        </w:tc>
        <w:tc>
          <w:tcPr>
            <w:tcW w:w="624" w:type="dxa"/>
          </w:tcPr>
          <w:p w14:paraId="71A7B327" w14:textId="77777777" w:rsidR="0078079E" w:rsidRDefault="0078079E">
            <w:pPr>
              <w:pStyle w:val="TableText"/>
            </w:pPr>
          </w:p>
        </w:tc>
        <w:tc>
          <w:tcPr>
            <w:tcW w:w="624" w:type="dxa"/>
          </w:tcPr>
          <w:p w14:paraId="4990C6B8" w14:textId="77777777" w:rsidR="0078079E" w:rsidRDefault="0078079E">
            <w:pPr>
              <w:pStyle w:val="TableText"/>
            </w:pPr>
          </w:p>
        </w:tc>
        <w:tc>
          <w:tcPr>
            <w:tcW w:w="5898" w:type="dxa"/>
            <w:gridSpan w:val="2"/>
          </w:tcPr>
          <w:p w14:paraId="52245BE1" w14:textId="17BBBAF5" w:rsidR="0078079E" w:rsidRDefault="0078079E">
            <w:pPr>
              <w:pStyle w:val="TableBlock"/>
            </w:pPr>
            <w:r>
              <w:rPr>
                <w:rFonts w:hint="cs"/>
                <w:rtl/>
              </w:rPr>
              <w:t>(1)</w:t>
            </w:r>
            <w:r>
              <w:rPr>
                <w:rtl/>
              </w:rPr>
              <w:tab/>
            </w:r>
            <w:r>
              <w:rPr>
                <w:rFonts w:hint="cs"/>
                <w:rtl/>
              </w:rPr>
              <w:t xml:space="preserve">בפסקת משנה (א), </w:t>
            </w:r>
            <w:r>
              <w:rPr>
                <w:rFonts w:hint="cs"/>
                <w:sz w:val="26"/>
                <w:rtl/>
              </w:rPr>
              <w:t xml:space="preserve">במקום הסיפה החל במילים "שיש בהם" </w:t>
            </w:r>
            <w:r w:rsidRPr="002546B6">
              <w:rPr>
                <w:sz w:val="26"/>
                <w:rtl/>
              </w:rPr>
              <w:t>יבוא "מכל סוג</w:t>
            </w:r>
            <w:r>
              <w:rPr>
                <w:rFonts w:hint="cs"/>
                <w:sz w:val="26"/>
                <w:rtl/>
              </w:rPr>
              <w:t>;</w:t>
            </w:r>
            <w:r>
              <w:rPr>
                <w:sz w:val="26"/>
                <w:rtl/>
              </w:rPr>
              <w:t>"</w:t>
            </w:r>
            <w:r>
              <w:rPr>
                <w:rFonts w:hint="cs"/>
                <w:rtl/>
              </w:rPr>
              <w:t>;</w:t>
            </w:r>
          </w:p>
        </w:tc>
      </w:tr>
      <w:tr w:rsidR="0078079E" w14:paraId="5CA77484" w14:textId="77777777">
        <w:trPr>
          <w:cantSplit/>
          <w:trHeight w:val="60"/>
        </w:trPr>
        <w:tc>
          <w:tcPr>
            <w:tcW w:w="1871" w:type="dxa"/>
          </w:tcPr>
          <w:p w14:paraId="6DAD2432" w14:textId="77777777" w:rsidR="0078079E" w:rsidRDefault="0078079E">
            <w:pPr>
              <w:pStyle w:val="TableSideHeading"/>
              <w:rPr>
                <w:rtl/>
              </w:rPr>
            </w:pPr>
          </w:p>
        </w:tc>
        <w:tc>
          <w:tcPr>
            <w:tcW w:w="624" w:type="dxa"/>
          </w:tcPr>
          <w:p w14:paraId="26527AFE" w14:textId="77777777" w:rsidR="0078079E" w:rsidRDefault="0078079E" w:rsidP="009E17E5">
            <w:pPr>
              <w:pStyle w:val="TableText"/>
            </w:pPr>
          </w:p>
        </w:tc>
        <w:tc>
          <w:tcPr>
            <w:tcW w:w="624" w:type="dxa"/>
          </w:tcPr>
          <w:p w14:paraId="45451A3F" w14:textId="77777777" w:rsidR="0078079E" w:rsidRDefault="0078079E">
            <w:pPr>
              <w:pStyle w:val="TableText"/>
            </w:pPr>
          </w:p>
        </w:tc>
        <w:tc>
          <w:tcPr>
            <w:tcW w:w="624" w:type="dxa"/>
          </w:tcPr>
          <w:p w14:paraId="070CB0AB" w14:textId="77777777" w:rsidR="0078079E" w:rsidRDefault="0078079E">
            <w:pPr>
              <w:pStyle w:val="TableText"/>
            </w:pPr>
          </w:p>
        </w:tc>
        <w:tc>
          <w:tcPr>
            <w:tcW w:w="5898" w:type="dxa"/>
            <w:gridSpan w:val="2"/>
          </w:tcPr>
          <w:p w14:paraId="0CE23211" w14:textId="4B988399" w:rsidR="0078079E" w:rsidRDefault="0078079E">
            <w:pPr>
              <w:pStyle w:val="TableBlock"/>
              <w:rPr>
                <w:rtl/>
              </w:rPr>
            </w:pPr>
            <w:r>
              <w:rPr>
                <w:rFonts w:hint="cs"/>
                <w:sz w:val="26"/>
                <w:rtl/>
              </w:rPr>
              <w:t>(2)</w:t>
            </w:r>
            <w:r>
              <w:rPr>
                <w:sz w:val="26"/>
                <w:rtl/>
              </w:rPr>
              <w:tab/>
            </w:r>
            <w:r>
              <w:rPr>
                <w:rFonts w:hint="cs"/>
                <w:sz w:val="26"/>
                <w:rtl/>
              </w:rPr>
              <w:t xml:space="preserve">פסקת משנה (ב) </w:t>
            </w:r>
            <w:r>
              <w:rPr>
                <w:rFonts w:hint="eastAsia"/>
                <w:sz w:val="26"/>
                <w:rtl/>
              </w:rPr>
              <w:t>– תימחק;</w:t>
            </w:r>
          </w:p>
        </w:tc>
      </w:tr>
      <w:tr w:rsidR="0078079E" w14:paraId="4753AB9A" w14:textId="77777777">
        <w:trPr>
          <w:cantSplit/>
          <w:trHeight w:val="60"/>
        </w:trPr>
        <w:tc>
          <w:tcPr>
            <w:tcW w:w="1871" w:type="dxa"/>
          </w:tcPr>
          <w:p w14:paraId="59CA7F9D" w14:textId="77777777" w:rsidR="0078079E" w:rsidRDefault="0078079E">
            <w:pPr>
              <w:pStyle w:val="TableSideHeading"/>
              <w:rPr>
                <w:rtl/>
              </w:rPr>
            </w:pPr>
          </w:p>
        </w:tc>
        <w:tc>
          <w:tcPr>
            <w:tcW w:w="624" w:type="dxa"/>
          </w:tcPr>
          <w:p w14:paraId="488E9FE6" w14:textId="77777777" w:rsidR="0078079E" w:rsidRDefault="0078079E" w:rsidP="009E17E5">
            <w:pPr>
              <w:pStyle w:val="TableText"/>
            </w:pPr>
          </w:p>
        </w:tc>
        <w:tc>
          <w:tcPr>
            <w:tcW w:w="624" w:type="dxa"/>
          </w:tcPr>
          <w:p w14:paraId="22991525" w14:textId="77777777" w:rsidR="0078079E" w:rsidRDefault="0078079E">
            <w:pPr>
              <w:pStyle w:val="TableText"/>
            </w:pPr>
          </w:p>
        </w:tc>
        <w:tc>
          <w:tcPr>
            <w:tcW w:w="624" w:type="dxa"/>
          </w:tcPr>
          <w:p w14:paraId="65CCF711" w14:textId="77777777" w:rsidR="0078079E" w:rsidRDefault="0078079E">
            <w:pPr>
              <w:pStyle w:val="TableText"/>
            </w:pPr>
          </w:p>
        </w:tc>
        <w:tc>
          <w:tcPr>
            <w:tcW w:w="5898" w:type="dxa"/>
            <w:gridSpan w:val="2"/>
          </w:tcPr>
          <w:p w14:paraId="032F4416" w14:textId="00322087" w:rsidR="0078079E" w:rsidRDefault="0078079E">
            <w:pPr>
              <w:pStyle w:val="TableBlock"/>
              <w:rPr>
                <w:sz w:val="26"/>
                <w:rtl/>
              </w:rPr>
            </w:pPr>
            <w:r>
              <w:rPr>
                <w:rFonts w:hint="cs"/>
                <w:sz w:val="26"/>
                <w:rtl/>
              </w:rPr>
              <w:t>(3)</w:t>
            </w:r>
            <w:r>
              <w:rPr>
                <w:sz w:val="26"/>
                <w:rtl/>
              </w:rPr>
              <w:tab/>
            </w:r>
            <w:r>
              <w:rPr>
                <w:rFonts w:hint="cs"/>
                <w:sz w:val="26"/>
                <w:rtl/>
              </w:rPr>
              <w:t>אחרי פסקת משנה (ג) יבוא:</w:t>
            </w:r>
          </w:p>
        </w:tc>
      </w:tr>
      <w:tr w:rsidR="0078079E" w14:paraId="7B3E7CBE" w14:textId="77777777">
        <w:trPr>
          <w:cantSplit/>
          <w:trHeight w:val="60"/>
        </w:trPr>
        <w:tc>
          <w:tcPr>
            <w:tcW w:w="1871" w:type="dxa"/>
          </w:tcPr>
          <w:p w14:paraId="67E7DDC9" w14:textId="77777777" w:rsidR="0078079E" w:rsidRDefault="0078079E">
            <w:pPr>
              <w:pStyle w:val="TableSideHeading"/>
            </w:pPr>
          </w:p>
        </w:tc>
        <w:tc>
          <w:tcPr>
            <w:tcW w:w="624" w:type="dxa"/>
          </w:tcPr>
          <w:p w14:paraId="45345C3C" w14:textId="77777777" w:rsidR="0078079E" w:rsidRDefault="0078079E">
            <w:pPr>
              <w:pStyle w:val="TableText"/>
            </w:pPr>
          </w:p>
        </w:tc>
        <w:tc>
          <w:tcPr>
            <w:tcW w:w="624" w:type="dxa"/>
          </w:tcPr>
          <w:p w14:paraId="04C33913" w14:textId="77777777" w:rsidR="0078079E" w:rsidRDefault="0078079E">
            <w:pPr>
              <w:pStyle w:val="TableText"/>
            </w:pPr>
          </w:p>
        </w:tc>
        <w:tc>
          <w:tcPr>
            <w:tcW w:w="624" w:type="dxa"/>
          </w:tcPr>
          <w:p w14:paraId="5071481F" w14:textId="77777777" w:rsidR="0078079E" w:rsidRDefault="0078079E">
            <w:pPr>
              <w:pStyle w:val="TableText"/>
            </w:pPr>
          </w:p>
        </w:tc>
        <w:tc>
          <w:tcPr>
            <w:tcW w:w="624" w:type="dxa"/>
          </w:tcPr>
          <w:p w14:paraId="24E8AC46" w14:textId="77777777" w:rsidR="0078079E" w:rsidRDefault="0078079E">
            <w:pPr>
              <w:pStyle w:val="TableText"/>
            </w:pPr>
          </w:p>
        </w:tc>
        <w:tc>
          <w:tcPr>
            <w:tcW w:w="5274" w:type="dxa"/>
          </w:tcPr>
          <w:p w14:paraId="0D25B932" w14:textId="63D958D5" w:rsidR="0078079E" w:rsidRDefault="0078079E" w:rsidP="009E17E5">
            <w:pPr>
              <w:pStyle w:val="TableBlock"/>
            </w:pPr>
            <w:r>
              <w:rPr>
                <w:rFonts w:hint="cs"/>
                <w:rtl/>
              </w:rPr>
              <w:t>"(ד)</w:t>
            </w:r>
            <w:r>
              <w:rPr>
                <w:rtl/>
              </w:rPr>
              <w:tab/>
            </w:r>
            <w:r>
              <w:rPr>
                <w:rFonts w:hint="cs"/>
                <w:rtl/>
              </w:rPr>
              <w:t>הצגת עירום או איבר מין של אדם."</w:t>
            </w:r>
            <w:r w:rsidR="009E17E5">
              <w:rPr>
                <w:rFonts w:hint="cs"/>
                <w:rtl/>
              </w:rPr>
              <w:t>;</w:t>
            </w:r>
          </w:p>
        </w:tc>
      </w:tr>
      <w:tr w:rsidR="0078079E" w14:paraId="1984C67D" w14:textId="77777777" w:rsidTr="006E6C08">
        <w:trPr>
          <w:cantSplit/>
          <w:trHeight w:val="60"/>
        </w:trPr>
        <w:tc>
          <w:tcPr>
            <w:tcW w:w="1871" w:type="dxa"/>
          </w:tcPr>
          <w:p w14:paraId="5762AA76" w14:textId="77777777" w:rsidR="0078079E" w:rsidRDefault="0078079E">
            <w:pPr>
              <w:pStyle w:val="TableSideHeading"/>
              <w:rPr>
                <w:rtl/>
              </w:rPr>
            </w:pPr>
          </w:p>
        </w:tc>
        <w:tc>
          <w:tcPr>
            <w:tcW w:w="624" w:type="dxa"/>
          </w:tcPr>
          <w:p w14:paraId="7F324888" w14:textId="77777777" w:rsidR="0078079E" w:rsidRDefault="0078079E" w:rsidP="009E17E5">
            <w:pPr>
              <w:pStyle w:val="TableText"/>
            </w:pPr>
          </w:p>
        </w:tc>
        <w:tc>
          <w:tcPr>
            <w:tcW w:w="624" w:type="dxa"/>
          </w:tcPr>
          <w:p w14:paraId="4715772D" w14:textId="77777777" w:rsidR="0078079E" w:rsidRDefault="0078079E">
            <w:pPr>
              <w:pStyle w:val="TableText"/>
            </w:pPr>
          </w:p>
        </w:tc>
        <w:tc>
          <w:tcPr>
            <w:tcW w:w="6522" w:type="dxa"/>
            <w:gridSpan w:val="3"/>
          </w:tcPr>
          <w:p w14:paraId="0BA023A9" w14:textId="08FF4959" w:rsidR="0078079E" w:rsidRDefault="0078079E" w:rsidP="009E17E5">
            <w:pPr>
              <w:pStyle w:val="TableText"/>
              <w:rPr>
                <w:rtl/>
              </w:rPr>
            </w:pPr>
            <w:r>
              <w:rPr>
                <w:rFonts w:hint="cs"/>
                <w:rtl/>
              </w:rPr>
              <w:t>(ב)</w:t>
            </w:r>
            <w:r>
              <w:rPr>
                <w:rtl/>
              </w:rPr>
              <w:tab/>
            </w:r>
            <w:r w:rsidR="00B77CB2">
              <w:rPr>
                <w:rFonts w:hint="cs"/>
                <w:rtl/>
              </w:rPr>
              <w:t>ב</w:t>
            </w:r>
            <w:r>
              <w:rPr>
                <w:rFonts w:hint="cs"/>
                <w:rtl/>
              </w:rPr>
              <w:t>פסקה (3)</w:t>
            </w:r>
            <w:r w:rsidR="00B77CB2">
              <w:rPr>
                <w:rFonts w:hint="cs"/>
                <w:rtl/>
              </w:rPr>
              <w:t>,</w:t>
            </w:r>
            <w:r>
              <w:rPr>
                <w:rFonts w:hint="cs"/>
                <w:rtl/>
              </w:rPr>
              <w:t xml:space="preserve"> </w:t>
            </w:r>
            <w:r w:rsidR="003C6301">
              <w:rPr>
                <w:rFonts w:hint="cs"/>
                <w:rtl/>
              </w:rPr>
              <w:t>אחרי "הימורים" יבוא מכל סוג באמצעות תשלום כספי";"</w:t>
            </w:r>
            <w:r w:rsidR="009E17E5">
              <w:rPr>
                <w:rFonts w:hint="cs"/>
                <w:rtl/>
              </w:rPr>
              <w:t>;</w:t>
            </w:r>
          </w:p>
        </w:tc>
      </w:tr>
      <w:tr w:rsidR="003C6301" w14:paraId="6B17C17D" w14:textId="77777777" w:rsidTr="002C3041">
        <w:trPr>
          <w:cantSplit/>
          <w:trHeight w:val="60"/>
        </w:trPr>
        <w:tc>
          <w:tcPr>
            <w:tcW w:w="1871" w:type="dxa"/>
          </w:tcPr>
          <w:p w14:paraId="52FC4258" w14:textId="2E1588F5" w:rsidR="003C6301" w:rsidRDefault="003C6301" w:rsidP="003C6301">
            <w:pPr>
              <w:pStyle w:val="TableSideHeading"/>
              <w:keepLines w:val="0"/>
              <w:rPr>
                <w:sz w:val="26"/>
                <w:rtl/>
              </w:rPr>
            </w:pPr>
          </w:p>
        </w:tc>
        <w:tc>
          <w:tcPr>
            <w:tcW w:w="624" w:type="dxa"/>
          </w:tcPr>
          <w:p w14:paraId="3289FE44" w14:textId="77777777" w:rsidR="003C6301" w:rsidRDefault="003C6301" w:rsidP="003C6301">
            <w:pPr>
              <w:pStyle w:val="TableText"/>
              <w:keepLines w:val="0"/>
              <w:rPr>
                <w:sz w:val="26"/>
                <w:rtl/>
              </w:rPr>
            </w:pPr>
          </w:p>
        </w:tc>
        <w:tc>
          <w:tcPr>
            <w:tcW w:w="7146" w:type="dxa"/>
            <w:gridSpan w:val="4"/>
          </w:tcPr>
          <w:p w14:paraId="72EC3770" w14:textId="6F6B5B3E" w:rsidR="003C6301" w:rsidRDefault="003C6301" w:rsidP="003C6301">
            <w:pPr>
              <w:pStyle w:val="TableBlock"/>
              <w:keepLines w:val="0"/>
              <w:rPr>
                <w:sz w:val="26"/>
                <w:rtl/>
              </w:rPr>
            </w:pPr>
            <w:r>
              <w:rPr>
                <w:rFonts w:hint="cs"/>
                <w:rtl/>
              </w:rPr>
              <w:t>(2)</w:t>
            </w:r>
            <w:r>
              <w:rPr>
                <w:rtl/>
              </w:rPr>
              <w:tab/>
            </w:r>
            <w:r>
              <w:rPr>
                <w:rFonts w:hint="cs"/>
                <w:rtl/>
              </w:rPr>
              <w:t>אחרי ההגדרה "ספק גישה לאינטרנט" יבוא:</w:t>
            </w:r>
          </w:p>
        </w:tc>
      </w:tr>
      <w:tr w:rsidR="003B7999" w14:paraId="66263ED0" w14:textId="77777777">
        <w:trPr>
          <w:cantSplit/>
          <w:trHeight w:val="60"/>
        </w:trPr>
        <w:tc>
          <w:tcPr>
            <w:tcW w:w="1871" w:type="dxa"/>
          </w:tcPr>
          <w:p w14:paraId="47DD7AAA" w14:textId="10049BEA" w:rsidR="003B7999" w:rsidRDefault="003B7999" w:rsidP="003B7999">
            <w:pPr>
              <w:pStyle w:val="TableSideHeading"/>
            </w:pPr>
          </w:p>
        </w:tc>
        <w:tc>
          <w:tcPr>
            <w:tcW w:w="624" w:type="dxa"/>
          </w:tcPr>
          <w:p w14:paraId="16B7B123" w14:textId="77777777" w:rsidR="003B7999" w:rsidRDefault="003B7999" w:rsidP="003B7999">
            <w:pPr>
              <w:pStyle w:val="TableText"/>
            </w:pPr>
          </w:p>
        </w:tc>
        <w:tc>
          <w:tcPr>
            <w:tcW w:w="624" w:type="dxa"/>
          </w:tcPr>
          <w:p w14:paraId="20135C57" w14:textId="77777777" w:rsidR="003B7999" w:rsidRDefault="003B7999" w:rsidP="003B7999">
            <w:pPr>
              <w:pStyle w:val="TableText"/>
            </w:pPr>
          </w:p>
        </w:tc>
        <w:tc>
          <w:tcPr>
            <w:tcW w:w="6522" w:type="dxa"/>
            <w:gridSpan w:val="3"/>
          </w:tcPr>
          <w:p w14:paraId="21CA3A2B" w14:textId="7BBCAB4D" w:rsidR="003B7999" w:rsidRPr="003B7999" w:rsidRDefault="003B7999" w:rsidP="003B7999">
            <w:pPr>
              <w:pStyle w:val="TableBlockOutdent"/>
            </w:pPr>
            <w:r w:rsidRPr="003B7999">
              <w:rPr>
                <w:rtl/>
              </w:rPr>
              <w:t>""שירות סינון</w:t>
            </w:r>
            <w:r w:rsidRPr="003B7999">
              <w:rPr>
                <w:rFonts w:hint="cs"/>
                <w:rtl/>
              </w:rPr>
              <w:t xml:space="preserve"> תכנים</w:t>
            </w:r>
            <w:r w:rsidRPr="003B7999">
              <w:rPr>
                <w:rtl/>
              </w:rPr>
              <w:t xml:space="preserve">" </w:t>
            </w:r>
            <w:r w:rsidRPr="003B7999">
              <w:rPr>
                <w:rFonts w:hint="eastAsia"/>
                <w:rtl/>
              </w:rPr>
              <w:t>–</w:t>
            </w:r>
            <w:r w:rsidRPr="003B7999">
              <w:rPr>
                <w:rtl/>
              </w:rPr>
              <w:t xml:space="preserve"> שירות </w:t>
            </w:r>
            <w:r w:rsidRPr="003B7999">
              <w:rPr>
                <w:rFonts w:hint="eastAsia"/>
                <w:rtl/>
              </w:rPr>
              <w:t>של</w:t>
            </w:r>
            <w:r w:rsidRPr="003B7999">
              <w:rPr>
                <w:rtl/>
              </w:rPr>
              <w:t xml:space="preserve"> </w:t>
            </w:r>
            <w:r w:rsidRPr="003B7999">
              <w:rPr>
                <w:rFonts w:hint="eastAsia"/>
                <w:rtl/>
              </w:rPr>
              <w:t>תוכנה</w:t>
            </w:r>
            <w:r w:rsidRPr="003B7999">
              <w:rPr>
                <w:rtl/>
              </w:rPr>
              <w:t xml:space="preserve"> </w:t>
            </w:r>
            <w:r w:rsidRPr="003B7999">
              <w:rPr>
                <w:rFonts w:hint="eastAsia"/>
                <w:rtl/>
              </w:rPr>
              <w:t>יעילה</w:t>
            </w:r>
            <w:r w:rsidRPr="003B7999">
              <w:rPr>
                <w:rtl/>
              </w:rPr>
              <w:t xml:space="preserve"> </w:t>
            </w:r>
            <w:r w:rsidRPr="003B7999">
              <w:rPr>
                <w:rFonts w:hint="cs"/>
                <w:rtl/>
              </w:rPr>
              <w:t>ש</w:t>
            </w:r>
            <w:r w:rsidRPr="003B7999">
              <w:rPr>
                <w:rFonts w:hint="eastAsia"/>
                <w:rtl/>
              </w:rPr>
              <w:t>מאפשרת</w:t>
            </w:r>
            <w:r w:rsidRPr="003B7999">
              <w:rPr>
                <w:rtl/>
              </w:rPr>
              <w:t xml:space="preserve"> </w:t>
            </w:r>
            <w:r w:rsidRPr="003B7999">
              <w:rPr>
                <w:rFonts w:hint="eastAsia"/>
                <w:rtl/>
              </w:rPr>
              <w:t>גלישה</w:t>
            </w:r>
            <w:r w:rsidRPr="003B7999">
              <w:rPr>
                <w:rtl/>
              </w:rPr>
              <w:t xml:space="preserve"> </w:t>
            </w:r>
            <w:r w:rsidRPr="003B7999">
              <w:rPr>
                <w:rFonts w:hint="eastAsia"/>
                <w:rtl/>
              </w:rPr>
              <w:t>חופשית</w:t>
            </w:r>
            <w:r w:rsidRPr="003B7999">
              <w:rPr>
                <w:rtl/>
              </w:rPr>
              <w:t xml:space="preserve"> </w:t>
            </w:r>
            <w:r w:rsidRPr="003B7999">
              <w:rPr>
                <w:rFonts w:hint="eastAsia"/>
                <w:rtl/>
              </w:rPr>
              <w:t>באתרים</w:t>
            </w:r>
            <w:r w:rsidRPr="003B7999">
              <w:rPr>
                <w:rtl/>
              </w:rPr>
              <w:t xml:space="preserve"> </w:t>
            </w:r>
            <w:r w:rsidRPr="003B7999">
              <w:rPr>
                <w:rFonts w:hint="cs"/>
                <w:rtl/>
              </w:rPr>
              <w:t xml:space="preserve">המציגים תוכן פוגעני </w:t>
            </w:r>
            <w:r w:rsidRPr="003B7999">
              <w:rPr>
                <w:rFonts w:hint="eastAsia"/>
                <w:rtl/>
              </w:rPr>
              <w:t>באמצעות</w:t>
            </w:r>
            <w:r w:rsidRPr="003B7999">
              <w:rPr>
                <w:rtl/>
              </w:rPr>
              <w:t xml:space="preserve"> </w:t>
            </w:r>
            <w:r w:rsidRPr="003B7999">
              <w:rPr>
                <w:rFonts w:hint="eastAsia"/>
                <w:rtl/>
              </w:rPr>
              <w:t>הקשת</w:t>
            </w:r>
            <w:r w:rsidRPr="003B7999">
              <w:rPr>
                <w:rtl/>
              </w:rPr>
              <w:t xml:space="preserve"> </w:t>
            </w:r>
            <w:r w:rsidRPr="003B7999">
              <w:rPr>
                <w:rFonts w:hint="eastAsia"/>
                <w:rtl/>
              </w:rPr>
              <w:t>קוד</w:t>
            </w:r>
            <w:r w:rsidRPr="003B7999">
              <w:rPr>
                <w:rtl/>
              </w:rPr>
              <w:t xml:space="preserve"> </w:t>
            </w:r>
            <w:r w:rsidRPr="003B7999">
              <w:rPr>
                <w:rFonts w:hint="eastAsia"/>
                <w:rtl/>
              </w:rPr>
              <w:t>סודי</w:t>
            </w:r>
            <w:r w:rsidRPr="003B7999">
              <w:rPr>
                <w:rFonts w:hint="cs"/>
                <w:rtl/>
              </w:rPr>
              <w:t xml:space="preserve"> בלבד.";</w:t>
            </w:r>
            <w:r w:rsidRPr="003B7999">
              <w:rPr>
                <w:rtl/>
              </w:rPr>
              <w:t xml:space="preserve">  </w:t>
            </w:r>
          </w:p>
        </w:tc>
      </w:tr>
      <w:tr w:rsidR="003B7999" w14:paraId="008F3C95" w14:textId="77777777" w:rsidTr="002C3041">
        <w:trPr>
          <w:cantSplit/>
          <w:trHeight w:val="60"/>
        </w:trPr>
        <w:tc>
          <w:tcPr>
            <w:tcW w:w="1871" w:type="dxa"/>
          </w:tcPr>
          <w:p w14:paraId="742D8DE1" w14:textId="347254C9" w:rsidR="003B7999" w:rsidRDefault="003B7999" w:rsidP="003B7999">
            <w:pPr>
              <w:pStyle w:val="TableSideHeading"/>
              <w:keepLines w:val="0"/>
              <w:rPr>
                <w:sz w:val="26"/>
                <w:rtl/>
              </w:rPr>
            </w:pPr>
          </w:p>
        </w:tc>
        <w:tc>
          <w:tcPr>
            <w:tcW w:w="624" w:type="dxa"/>
          </w:tcPr>
          <w:p w14:paraId="12A8D72B" w14:textId="77777777" w:rsidR="003B7999" w:rsidRDefault="003B7999" w:rsidP="003B7999">
            <w:pPr>
              <w:pStyle w:val="TableText"/>
              <w:keepLines w:val="0"/>
              <w:rPr>
                <w:sz w:val="26"/>
                <w:rtl/>
              </w:rPr>
            </w:pPr>
          </w:p>
        </w:tc>
        <w:tc>
          <w:tcPr>
            <w:tcW w:w="7146" w:type="dxa"/>
            <w:gridSpan w:val="4"/>
          </w:tcPr>
          <w:p w14:paraId="72534BC8" w14:textId="4EAC1BD7" w:rsidR="003B7999" w:rsidRDefault="003B7999" w:rsidP="003B7999">
            <w:pPr>
              <w:pStyle w:val="TableBlock"/>
              <w:keepLines w:val="0"/>
              <w:rPr>
                <w:sz w:val="26"/>
                <w:rtl/>
              </w:rPr>
            </w:pPr>
            <w:r>
              <w:rPr>
                <w:rFonts w:hint="cs"/>
                <w:rtl/>
              </w:rPr>
              <w:t>(3)</w:t>
            </w:r>
            <w:r>
              <w:rPr>
                <w:rtl/>
              </w:rPr>
              <w:tab/>
            </w:r>
            <w:r>
              <w:rPr>
                <w:rFonts w:hint="cs"/>
                <w:rtl/>
              </w:rPr>
              <w:t>אחרי סעיף קטן (ד) יבוא:</w:t>
            </w:r>
          </w:p>
        </w:tc>
      </w:tr>
      <w:tr w:rsidR="003B7999" w14:paraId="1DB5E5D1" w14:textId="77777777" w:rsidTr="002C3041">
        <w:trPr>
          <w:cantSplit/>
          <w:trHeight w:val="60"/>
        </w:trPr>
        <w:tc>
          <w:tcPr>
            <w:tcW w:w="1871" w:type="dxa"/>
          </w:tcPr>
          <w:p w14:paraId="5F19FFEA" w14:textId="77777777" w:rsidR="003B7999" w:rsidRDefault="003B7999" w:rsidP="003B7999">
            <w:pPr>
              <w:pStyle w:val="TableSideHeading"/>
              <w:keepLines w:val="0"/>
              <w:rPr>
                <w:sz w:val="26"/>
                <w:rtl/>
              </w:rPr>
            </w:pPr>
          </w:p>
        </w:tc>
        <w:tc>
          <w:tcPr>
            <w:tcW w:w="624" w:type="dxa"/>
          </w:tcPr>
          <w:p w14:paraId="037BAA40" w14:textId="77777777" w:rsidR="003B7999" w:rsidRDefault="003B7999" w:rsidP="003B7999">
            <w:pPr>
              <w:pStyle w:val="TableText"/>
              <w:rPr>
                <w:rtl/>
              </w:rPr>
            </w:pPr>
          </w:p>
        </w:tc>
        <w:tc>
          <w:tcPr>
            <w:tcW w:w="7146" w:type="dxa"/>
            <w:gridSpan w:val="4"/>
          </w:tcPr>
          <w:p w14:paraId="3A3EFE7D" w14:textId="182576FE" w:rsidR="003B7999" w:rsidRDefault="003B7999" w:rsidP="003B7999">
            <w:pPr>
              <w:pStyle w:val="TableBlock"/>
              <w:keepLines w:val="0"/>
              <w:rPr>
                <w:rtl/>
              </w:rPr>
            </w:pPr>
            <w:r>
              <w:rPr>
                <w:rFonts w:hint="cs"/>
                <w:rtl/>
              </w:rPr>
              <w:t>"(ה)</w:t>
            </w:r>
            <w:r>
              <w:rPr>
                <w:rtl/>
              </w:rPr>
              <w:tab/>
            </w:r>
            <w:r>
              <w:rPr>
                <w:rFonts w:hint="cs"/>
                <w:rtl/>
              </w:rPr>
              <w:t>על אף האמור בסעיף ק</w:t>
            </w:r>
            <w:r w:rsidR="00B77CB2">
              <w:rPr>
                <w:rFonts w:hint="cs"/>
                <w:rtl/>
              </w:rPr>
              <w:t>טן (ד), רשאי ספק גישה לאינטרנט ל</w:t>
            </w:r>
            <w:r>
              <w:rPr>
                <w:rFonts w:hint="cs"/>
                <w:rtl/>
              </w:rPr>
              <w:t>ספק לכל מנוייו, כברירת מחדל, שירות סינון תכנים; בעד שירות סינון כאמור, לא יגבה ספק הגישה מהמנוי תשלום נוסף על התשלום שהוא גובה ממנו בעד שירות הגישה לאינטרנט.</w:t>
            </w:r>
          </w:p>
        </w:tc>
      </w:tr>
      <w:tr w:rsidR="003B7999" w14:paraId="61751A47" w14:textId="77777777" w:rsidTr="002C3041">
        <w:trPr>
          <w:cantSplit/>
          <w:trHeight w:val="60"/>
        </w:trPr>
        <w:tc>
          <w:tcPr>
            <w:tcW w:w="1871" w:type="dxa"/>
          </w:tcPr>
          <w:p w14:paraId="4E54049B" w14:textId="77777777" w:rsidR="003B7999" w:rsidRDefault="003B7999" w:rsidP="003B7999">
            <w:pPr>
              <w:pStyle w:val="TableSideHeading"/>
              <w:keepLines w:val="0"/>
              <w:rPr>
                <w:sz w:val="26"/>
                <w:rtl/>
              </w:rPr>
            </w:pPr>
          </w:p>
        </w:tc>
        <w:tc>
          <w:tcPr>
            <w:tcW w:w="624" w:type="dxa"/>
          </w:tcPr>
          <w:p w14:paraId="0841920B" w14:textId="77777777" w:rsidR="003B7999" w:rsidRDefault="003B7999" w:rsidP="003B7999">
            <w:pPr>
              <w:pStyle w:val="TableText"/>
              <w:rPr>
                <w:rtl/>
              </w:rPr>
            </w:pPr>
          </w:p>
        </w:tc>
        <w:tc>
          <w:tcPr>
            <w:tcW w:w="7146" w:type="dxa"/>
            <w:gridSpan w:val="4"/>
          </w:tcPr>
          <w:p w14:paraId="568C5A68" w14:textId="1DAE5A81" w:rsidR="003B7999" w:rsidRDefault="003B7999" w:rsidP="003B7999">
            <w:pPr>
              <w:pStyle w:val="TableBlock"/>
              <w:keepLines w:val="0"/>
              <w:rPr>
                <w:rtl/>
              </w:rPr>
            </w:pPr>
            <w:r>
              <w:rPr>
                <w:rFonts w:hint="cs"/>
                <w:rtl/>
              </w:rPr>
              <w:t>(ו)</w:t>
            </w:r>
            <w:r>
              <w:rPr>
                <w:rtl/>
              </w:rPr>
              <w:tab/>
            </w:r>
            <w:r>
              <w:rPr>
                <w:rFonts w:hint="cs"/>
                <w:rtl/>
              </w:rPr>
              <w:t>שירות הסינון כאמור בסעיף קטן (ה) לא יסופק אם המנוי ביקש זאת באמצעות פנייה טלפונית למוקד שירות לקוחות של הספק או באמצעות שליחת בקשה להסרת שירות הסינון באתר האינטרנט של הספק.</w:t>
            </w:r>
          </w:p>
        </w:tc>
      </w:tr>
      <w:tr w:rsidR="003B7999" w14:paraId="7D626242" w14:textId="77777777" w:rsidTr="002C3041">
        <w:trPr>
          <w:cantSplit/>
          <w:trHeight w:val="60"/>
        </w:trPr>
        <w:tc>
          <w:tcPr>
            <w:tcW w:w="1871" w:type="dxa"/>
          </w:tcPr>
          <w:p w14:paraId="73D51B5D" w14:textId="6233216A" w:rsidR="003B7999" w:rsidRDefault="003B7999" w:rsidP="003B7999">
            <w:pPr>
              <w:pStyle w:val="TableSideHeading"/>
              <w:keepLines w:val="0"/>
              <w:rPr>
                <w:sz w:val="26"/>
                <w:rtl/>
              </w:rPr>
            </w:pPr>
          </w:p>
        </w:tc>
        <w:tc>
          <w:tcPr>
            <w:tcW w:w="624" w:type="dxa"/>
          </w:tcPr>
          <w:p w14:paraId="5187B998" w14:textId="77777777" w:rsidR="003B7999" w:rsidRDefault="003B7999" w:rsidP="003B7999">
            <w:pPr>
              <w:pStyle w:val="TableText"/>
              <w:keepLines w:val="0"/>
              <w:rPr>
                <w:sz w:val="26"/>
                <w:rtl/>
              </w:rPr>
            </w:pPr>
          </w:p>
        </w:tc>
        <w:tc>
          <w:tcPr>
            <w:tcW w:w="7146" w:type="dxa"/>
            <w:gridSpan w:val="4"/>
          </w:tcPr>
          <w:p w14:paraId="5EE7CAF8" w14:textId="04A36E42" w:rsidR="003B7999" w:rsidRDefault="003B7999" w:rsidP="003B7999">
            <w:pPr>
              <w:pStyle w:val="TableBlock"/>
              <w:keepLines w:val="0"/>
              <w:rPr>
                <w:sz w:val="26"/>
                <w:rtl/>
              </w:rPr>
            </w:pPr>
            <w:r>
              <w:rPr>
                <w:rFonts w:hint="cs"/>
                <w:rtl/>
              </w:rPr>
              <w:t>(ז)</w:t>
            </w:r>
            <w:r>
              <w:rPr>
                <w:rtl/>
              </w:rPr>
              <w:tab/>
            </w:r>
            <w:r>
              <w:rPr>
                <w:rFonts w:hint="cs"/>
                <w:rtl/>
              </w:rPr>
              <w:t>סיפק ספק התכנים למנוי שירות סינון, יהיה זכאי לתשלום מהמדינה בסכום של 0.30 שקלים חדשים בעד כל מנוי כאמור, לתקופה של עשר שנים מהמועד שבו החל לספק את השירות למנוי."</w:t>
            </w:r>
          </w:p>
        </w:tc>
      </w:tr>
      <w:tr w:rsidR="003B7999" w14:paraId="4D328C01" w14:textId="77777777" w:rsidTr="002C3041">
        <w:trPr>
          <w:cantSplit/>
          <w:trHeight w:val="60"/>
        </w:trPr>
        <w:tc>
          <w:tcPr>
            <w:tcW w:w="1871" w:type="dxa"/>
          </w:tcPr>
          <w:p w14:paraId="3E143C63" w14:textId="5A29AD1C" w:rsidR="003B7999" w:rsidRDefault="003B7999" w:rsidP="003B7999">
            <w:pPr>
              <w:pStyle w:val="TableSideHeading"/>
              <w:keepLines w:val="0"/>
              <w:rPr>
                <w:sz w:val="26"/>
                <w:rtl/>
              </w:rPr>
            </w:pPr>
            <w:r>
              <w:rPr>
                <w:rFonts w:hint="cs"/>
                <w:sz w:val="26"/>
                <w:rtl/>
              </w:rPr>
              <w:t>הוראות מעבר</w:t>
            </w:r>
          </w:p>
        </w:tc>
        <w:tc>
          <w:tcPr>
            <w:tcW w:w="624" w:type="dxa"/>
          </w:tcPr>
          <w:p w14:paraId="295D74B0" w14:textId="0BE301C9" w:rsidR="003B7999" w:rsidRDefault="003B7999" w:rsidP="003B7999">
            <w:pPr>
              <w:pStyle w:val="TableText"/>
              <w:keepLines w:val="0"/>
              <w:rPr>
                <w:sz w:val="26"/>
                <w:rtl/>
              </w:rPr>
            </w:pPr>
            <w:r>
              <w:rPr>
                <w:rFonts w:hint="cs"/>
                <w:sz w:val="26"/>
                <w:rtl/>
              </w:rPr>
              <w:t>2.</w:t>
            </w:r>
          </w:p>
        </w:tc>
        <w:tc>
          <w:tcPr>
            <w:tcW w:w="7146" w:type="dxa"/>
            <w:gridSpan w:val="4"/>
          </w:tcPr>
          <w:p w14:paraId="01524BCC" w14:textId="6AEEF4F8" w:rsidR="003B7999" w:rsidRDefault="003B7999" w:rsidP="003B7999">
            <w:pPr>
              <w:pStyle w:val="TableBlock"/>
              <w:keepLines w:val="0"/>
              <w:rPr>
                <w:sz w:val="26"/>
                <w:rtl/>
              </w:rPr>
            </w:pPr>
            <w:r>
              <w:rPr>
                <w:rFonts w:hint="cs"/>
                <w:rtl/>
              </w:rPr>
              <w:t xml:space="preserve">הוראות סעיף 4ט(א) לחוק העיקרי, כנוסחו בסעיף 1 לחוק זה, יחולו גם לגבי מנוי קיים, בתום שלושה חודשים מיום תחילתו של חוק זה, אלא אם כן המנוי ביקש שלא לספק לו את שירות הסינון כאמור בסעיף 1; בסעיף זה, "מנוי קיים" </w:t>
            </w:r>
            <w:r>
              <w:rPr>
                <w:rFonts w:hint="eastAsia"/>
                <w:rtl/>
              </w:rPr>
              <w:t xml:space="preserve">– </w:t>
            </w:r>
            <w:r>
              <w:rPr>
                <w:rFonts w:hint="cs"/>
                <w:rtl/>
              </w:rPr>
              <w:t xml:space="preserve">מי שהיה </w:t>
            </w:r>
            <w:r>
              <w:rPr>
                <w:rFonts w:hint="eastAsia"/>
                <w:rtl/>
              </w:rPr>
              <w:t xml:space="preserve">מנוי </w:t>
            </w:r>
            <w:r>
              <w:rPr>
                <w:rFonts w:hint="cs"/>
                <w:rtl/>
              </w:rPr>
              <w:t>ל</w:t>
            </w:r>
            <w:r>
              <w:rPr>
                <w:rFonts w:hint="eastAsia"/>
                <w:rtl/>
              </w:rPr>
              <w:t>שירות גישה לאינטרנט ערב תחילתו של חוק זה.</w:t>
            </w:r>
          </w:p>
        </w:tc>
      </w:tr>
    </w:tbl>
    <w:p w14:paraId="7F6961CA" w14:textId="77777777" w:rsidR="002D1EE3" w:rsidRDefault="002D1EE3" w:rsidP="002D1EE3">
      <w:pPr>
        <w:pStyle w:val="HeadDivreiHesber"/>
        <w:rPr>
          <w:rtl/>
        </w:rPr>
      </w:pPr>
      <w:r w:rsidRPr="0027450A">
        <w:rPr>
          <w:rFonts w:hint="cs"/>
          <w:rtl/>
        </w:rPr>
        <w:t>דברי הסבר</w:t>
      </w:r>
    </w:p>
    <w:p w14:paraId="7D921211" w14:textId="77777777" w:rsidR="009E17E5" w:rsidRPr="00960ECB" w:rsidRDefault="009E17E5" w:rsidP="009E17E5">
      <w:pPr>
        <w:pStyle w:val="Hesber"/>
        <w:rPr>
          <w:rtl/>
        </w:rPr>
      </w:pPr>
      <w:r w:rsidRPr="00960ECB">
        <w:rPr>
          <w:rtl/>
        </w:rPr>
        <w:t>באיזון שבין חירות לאחריות,</w:t>
      </w:r>
      <w:r w:rsidRPr="00960ECB">
        <w:rPr>
          <w:rFonts w:hint="cs"/>
          <w:rtl/>
        </w:rPr>
        <w:t xml:space="preserve"> </w:t>
      </w:r>
      <w:r w:rsidRPr="00960ECB">
        <w:rPr>
          <w:rtl/>
        </w:rPr>
        <w:t>ה</w:t>
      </w:r>
      <w:r w:rsidRPr="00960ECB">
        <w:rPr>
          <w:rFonts w:hint="cs"/>
          <w:rtl/>
        </w:rPr>
        <w:t>וזנחה</w:t>
      </w:r>
      <w:r w:rsidRPr="00960ECB">
        <w:rPr>
          <w:rtl/>
        </w:rPr>
        <w:t xml:space="preserve"> האחריות כלפי </w:t>
      </w:r>
      <w:r w:rsidRPr="00960ECB">
        <w:rPr>
          <w:rFonts w:hint="cs"/>
          <w:rtl/>
        </w:rPr>
        <w:t>הקטינים שחשופים לתכנים שלא מתאימים לגילם. אין סיבה ש</w:t>
      </w:r>
      <w:r w:rsidRPr="00960ECB">
        <w:rPr>
          <w:rtl/>
        </w:rPr>
        <w:t xml:space="preserve">אותם חוקים </w:t>
      </w:r>
      <w:r w:rsidRPr="00960ECB">
        <w:rPr>
          <w:rFonts w:hint="cs"/>
          <w:rtl/>
        </w:rPr>
        <w:t>ה</w:t>
      </w:r>
      <w:r w:rsidRPr="00960ECB">
        <w:rPr>
          <w:rtl/>
        </w:rPr>
        <w:t xml:space="preserve">חלים בעולם </w:t>
      </w:r>
      <w:r>
        <w:rPr>
          <w:rFonts w:hint="cs"/>
          <w:rtl/>
        </w:rPr>
        <w:t>שאינו</w:t>
      </w:r>
      <w:r w:rsidRPr="00960ECB">
        <w:rPr>
          <w:rtl/>
        </w:rPr>
        <w:t xml:space="preserve"> וירטואלי, </w:t>
      </w:r>
      <w:r w:rsidRPr="00960ECB">
        <w:rPr>
          <w:rFonts w:hint="cs"/>
          <w:rtl/>
        </w:rPr>
        <w:t>לא</w:t>
      </w:r>
      <w:r w:rsidRPr="00960ECB">
        <w:rPr>
          <w:rtl/>
        </w:rPr>
        <w:t xml:space="preserve"> </w:t>
      </w:r>
      <w:r w:rsidRPr="00960ECB">
        <w:rPr>
          <w:rFonts w:hint="cs"/>
          <w:rtl/>
        </w:rPr>
        <w:t>י</w:t>
      </w:r>
      <w:r w:rsidRPr="00960ECB">
        <w:rPr>
          <w:rtl/>
        </w:rPr>
        <w:t>חול</w:t>
      </w:r>
      <w:r w:rsidRPr="00960ECB">
        <w:rPr>
          <w:rFonts w:hint="cs"/>
          <w:rtl/>
        </w:rPr>
        <w:t>ו</w:t>
      </w:r>
      <w:r w:rsidRPr="00960ECB">
        <w:rPr>
          <w:rtl/>
        </w:rPr>
        <w:t xml:space="preserve"> גם על האינטרנט.</w:t>
      </w:r>
      <w:r w:rsidRPr="00960ECB">
        <w:rPr>
          <w:rFonts w:hint="cs"/>
          <w:rtl/>
        </w:rPr>
        <w:t xml:space="preserve"> </w:t>
      </w:r>
      <w:r w:rsidRPr="00960ECB">
        <w:rPr>
          <w:rtl/>
        </w:rPr>
        <w:t xml:space="preserve">האינטרנט הוא מקום ציבורי </w:t>
      </w:r>
      <w:r w:rsidRPr="00960ECB">
        <w:rPr>
          <w:rFonts w:hint="cs"/>
          <w:rtl/>
        </w:rPr>
        <w:t>ו</w:t>
      </w:r>
      <w:r w:rsidRPr="00960ECB">
        <w:rPr>
          <w:rtl/>
        </w:rPr>
        <w:t xml:space="preserve">לצד חופש הביטוי של כל אזרח מונחת זכות </w:t>
      </w:r>
      <w:r w:rsidRPr="00960ECB">
        <w:rPr>
          <w:rFonts w:hint="cs"/>
          <w:rtl/>
        </w:rPr>
        <w:t>ל</w:t>
      </w:r>
      <w:r w:rsidRPr="00960ECB">
        <w:rPr>
          <w:rtl/>
        </w:rPr>
        <w:t>חופש תנועה של ילדינו במרחב הציבורי</w:t>
      </w:r>
      <w:r w:rsidRPr="00960ECB">
        <w:rPr>
          <w:rFonts w:hint="cs"/>
          <w:rtl/>
        </w:rPr>
        <w:t>,</w:t>
      </w:r>
      <w:r w:rsidRPr="00960ECB">
        <w:rPr>
          <w:rtl/>
        </w:rPr>
        <w:t xml:space="preserve"> בלי להיתקל בתכנים שאינם מתאימים לגיל</w:t>
      </w:r>
      <w:r>
        <w:rPr>
          <w:rtl/>
        </w:rPr>
        <w:t>ם. הטלת האחריות על כל משתמש קצה</w:t>
      </w:r>
      <w:r w:rsidRPr="00960ECB">
        <w:rPr>
          <w:rtl/>
        </w:rPr>
        <w:t xml:space="preserve"> היא למעשה הפקרת רשות הרבים החדשה שבה חיים </w:t>
      </w:r>
      <w:r w:rsidRPr="00960ECB">
        <w:rPr>
          <w:rFonts w:hint="cs"/>
          <w:rtl/>
        </w:rPr>
        <w:t>ילדינו</w:t>
      </w:r>
      <w:r w:rsidRPr="00960ECB">
        <w:rPr>
          <w:rtl/>
        </w:rPr>
        <w:t>.</w:t>
      </w:r>
    </w:p>
    <w:p w14:paraId="67CC2211" w14:textId="77777777" w:rsidR="009E17E5" w:rsidRDefault="009E17E5" w:rsidP="009E17E5">
      <w:pPr>
        <w:pStyle w:val="Hesber"/>
        <w:rPr>
          <w:rtl/>
        </w:rPr>
      </w:pPr>
      <w:r>
        <w:rPr>
          <w:rFonts w:hint="cs"/>
          <w:rtl/>
        </w:rPr>
        <w:t>הצעת חוק זו מטרתה לצמצם את חשיפתם של קטינים לתכנים פוגעניים ברחבי רשת האינטרנט. ההגדרה לעניין תוכן פוגעני הורחבה כך שתכלול הצגת עירום או אברי מין של אדם וכן, הימורים מכל סוג.</w:t>
      </w:r>
    </w:p>
    <w:p w14:paraId="1D43C4D0" w14:textId="7A42919D" w:rsidR="009E17E5" w:rsidRDefault="009E17E5" w:rsidP="009E17E5">
      <w:pPr>
        <w:pStyle w:val="Hesber"/>
        <w:rPr>
          <w:rtl/>
        </w:rPr>
      </w:pPr>
      <w:r>
        <w:rPr>
          <w:rFonts w:hint="cs"/>
          <w:rtl/>
        </w:rPr>
        <w:t xml:space="preserve">כדי להגן על קטינים במרחב הווירטואלי, מוצע לתמרץ את ספקי הגישה לאינטרנט להציע שירות סינון תכנים ללקוחותיהם </w:t>
      </w:r>
      <w:r w:rsidRPr="00F64F93">
        <w:rPr>
          <w:rFonts w:hint="eastAsia"/>
          <w:rtl/>
        </w:rPr>
        <w:t>אשר</w:t>
      </w:r>
      <w:r w:rsidR="00B77CB2">
        <w:rPr>
          <w:rtl/>
        </w:rPr>
        <w:t xml:space="preserve"> </w:t>
      </w:r>
      <w:r w:rsidR="00B77CB2">
        <w:rPr>
          <w:rFonts w:hint="cs"/>
          <w:rtl/>
        </w:rPr>
        <w:t>י</w:t>
      </w:r>
      <w:bookmarkStart w:id="8" w:name="_GoBack"/>
      <w:bookmarkEnd w:id="8"/>
      <w:r w:rsidRPr="00F64F93">
        <w:rPr>
          <w:rtl/>
        </w:rPr>
        <w:t xml:space="preserve">אפשר גלישה באתרים לא הולמים באמצעות הקשת סיסמא. תוכנה זו מקבילה לתוכנות בקרת הורים בערוצים פורנוגרפיים הקיימים בטלוויזיה </w:t>
      </w:r>
      <w:r w:rsidRPr="00F64F93">
        <w:rPr>
          <w:rFonts w:hint="eastAsia"/>
          <w:rtl/>
        </w:rPr>
        <w:t>בלווין</w:t>
      </w:r>
      <w:r>
        <w:rPr>
          <w:rFonts w:hint="cs"/>
          <w:rtl/>
        </w:rPr>
        <w:t xml:space="preserve">. </w:t>
      </w:r>
    </w:p>
    <w:p w14:paraId="4BE222D9" w14:textId="77777777" w:rsidR="009E17E5" w:rsidRDefault="009E17E5" w:rsidP="009E17E5">
      <w:pPr>
        <w:pStyle w:val="Hesber"/>
        <w:rPr>
          <w:rtl/>
        </w:rPr>
      </w:pPr>
      <w:r>
        <w:rPr>
          <w:rFonts w:hint="cs"/>
          <w:rtl/>
        </w:rPr>
        <w:t>ספק גישה אשר יספק שירות סינון תכנים זה, יזכה למענק בגובה 0.30 שקלים חדשים בעד כל מנוי כאמור ולתקופה של עשר שנים מהמועד שבו החל לספק את השירות למנוי.</w:t>
      </w:r>
    </w:p>
    <w:p w14:paraId="7F6961CB" w14:textId="77777777" w:rsidR="00E13C27" w:rsidRDefault="00E13C27" w:rsidP="00E13C27">
      <w:pPr>
        <w:pStyle w:val="Hesber"/>
        <w:rPr>
          <w:rtl/>
        </w:rPr>
      </w:pPr>
    </w:p>
    <w:p w14:paraId="1BD514AB" w14:textId="18EF358E" w:rsidR="003B7999" w:rsidRDefault="003B7999" w:rsidP="00E13C27">
      <w:pPr>
        <w:pStyle w:val="Hesber"/>
        <w:rPr>
          <w:rtl/>
        </w:rPr>
      </w:pPr>
    </w:p>
    <w:p w14:paraId="3FDFAE6C" w14:textId="77777777" w:rsidR="003B7999" w:rsidRPr="00D73212" w:rsidRDefault="003B7999" w:rsidP="003B7999">
      <w:pPr>
        <w:pStyle w:val="Hesber"/>
        <w:rPr>
          <w:color w:val="auto"/>
          <w:rtl/>
          <w:lang w:eastAsia="en-US"/>
        </w:rPr>
      </w:pPr>
      <w:r w:rsidRPr="00D73212">
        <w:rPr>
          <w:color w:val="auto"/>
          <w:rtl/>
          <w:lang w:eastAsia="en-US"/>
        </w:rPr>
        <w:t>---------------------------------</w:t>
      </w:r>
    </w:p>
    <w:p w14:paraId="033329B9" w14:textId="77777777" w:rsidR="003B7999" w:rsidRPr="00D73212" w:rsidRDefault="003B7999" w:rsidP="003B7999">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5CD4526E" w14:textId="77777777" w:rsidR="003B7999" w:rsidRPr="00D73212" w:rsidRDefault="003B7999" w:rsidP="003B7999">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586B36F4" w14:textId="77777777" w:rsidR="003B7999" w:rsidRPr="00317312" w:rsidRDefault="003B7999" w:rsidP="003B7999">
      <w:pPr>
        <w:pStyle w:val="Hesber"/>
      </w:pPr>
      <w:r>
        <w:rPr>
          <w:rFonts w:hint="cs"/>
          <w:color w:val="auto"/>
          <w:rtl/>
          <w:lang w:eastAsia="en-US"/>
        </w:rPr>
        <w:t>כ"ו בכסלו</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ז</w:t>
      </w:r>
      <w:r w:rsidRPr="00D73212">
        <w:rPr>
          <w:color w:val="auto"/>
          <w:rtl/>
          <w:lang w:eastAsia="en-US"/>
        </w:rPr>
        <w:t xml:space="preserve"> – </w:t>
      </w:r>
      <w:r>
        <w:rPr>
          <w:rFonts w:hint="cs"/>
          <w:color w:val="auto"/>
          <w:rtl/>
          <w:lang w:eastAsia="en-US"/>
        </w:rPr>
        <w:t>26.12</w:t>
      </w:r>
      <w:r w:rsidRPr="00D73212">
        <w:rPr>
          <w:color w:val="auto"/>
          <w:rtl/>
          <w:lang w:eastAsia="en-US"/>
        </w:rPr>
        <w:t>.1</w:t>
      </w:r>
      <w:r>
        <w:rPr>
          <w:rFonts w:hint="cs"/>
          <w:color w:val="auto"/>
          <w:rtl/>
          <w:lang w:eastAsia="en-US"/>
        </w:rPr>
        <w:t>6</w:t>
      </w:r>
    </w:p>
    <w:p w14:paraId="37CEF08D" w14:textId="77777777" w:rsidR="003B7999" w:rsidRDefault="003B7999" w:rsidP="00E13C27">
      <w:pPr>
        <w:pStyle w:val="Hesber"/>
        <w:rPr>
          <w:rtl/>
        </w:rPr>
      </w:pPr>
    </w:p>
    <w:sectPr w:rsidR="003B7999"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039EC" w14:textId="77777777" w:rsidR="006C2A45" w:rsidRDefault="006C2A45">
      <w:r>
        <w:separator/>
      </w:r>
    </w:p>
  </w:endnote>
  <w:endnote w:type="continuationSeparator" w:id="0">
    <w:p w14:paraId="2CBF9E93" w14:textId="77777777" w:rsidR="006C2A45" w:rsidRDefault="006C2A45">
      <w:r>
        <w:continuationSeparator/>
      </w:r>
    </w:p>
  </w:endnote>
  <w:endnote w:type="continuationNotice" w:id="1">
    <w:p w14:paraId="1F5251EF" w14:textId="77777777" w:rsidR="006C2A45" w:rsidRDefault="006C2A4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B77CB2">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0F395" w14:textId="77777777" w:rsidR="006C2A45" w:rsidRDefault="006C2A45">
      <w:r>
        <w:separator/>
      </w:r>
    </w:p>
  </w:footnote>
  <w:footnote w:type="continuationSeparator" w:id="0">
    <w:p w14:paraId="6D790B12" w14:textId="77777777" w:rsidR="006C2A45" w:rsidRDefault="006C2A45">
      <w:r>
        <w:continuationSeparator/>
      </w:r>
    </w:p>
  </w:footnote>
  <w:footnote w:type="continuationNotice" w:id="1">
    <w:p w14:paraId="495224B4" w14:textId="77777777" w:rsidR="006C2A45" w:rsidRDefault="006C2A45"/>
  </w:footnote>
  <w:footnote w:id="2">
    <w:p w14:paraId="449E295D" w14:textId="77777777" w:rsidR="00E459BD" w:rsidRDefault="00E459BD" w:rsidP="00E459BD">
      <w:pPr>
        <w:pStyle w:val="a4"/>
        <w:rPr>
          <w:rtl/>
        </w:rPr>
      </w:pPr>
      <w:r>
        <w:rPr>
          <w:rStyle w:val="a5"/>
        </w:rPr>
        <w:footnoteRef/>
      </w:r>
      <w:r>
        <w:rPr>
          <w:rtl/>
        </w:rPr>
        <w:t xml:space="preserve"> </w:t>
      </w:r>
      <w:r>
        <w:rPr>
          <w:rFonts w:hint="cs"/>
          <w:rtl/>
        </w:rPr>
        <w:t>ס"ח התשמ"ב, עמ' 218.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81238"/>
    <w:rsid w:val="000A542E"/>
    <w:rsid w:val="000D7D96"/>
    <w:rsid w:val="00102B6B"/>
    <w:rsid w:val="001052D4"/>
    <w:rsid w:val="0010644B"/>
    <w:rsid w:val="001207F8"/>
    <w:rsid w:val="00121924"/>
    <w:rsid w:val="001279A8"/>
    <w:rsid w:val="00135B99"/>
    <w:rsid w:val="0014195F"/>
    <w:rsid w:val="001514FB"/>
    <w:rsid w:val="00152609"/>
    <w:rsid w:val="00153E1B"/>
    <w:rsid w:val="001A0623"/>
    <w:rsid w:val="001C23B0"/>
    <w:rsid w:val="001D7AAF"/>
    <w:rsid w:val="00203A7F"/>
    <w:rsid w:val="00206683"/>
    <w:rsid w:val="0021633A"/>
    <w:rsid w:val="002200A1"/>
    <w:rsid w:val="002362BF"/>
    <w:rsid w:val="00241B97"/>
    <w:rsid w:val="002425D1"/>
    <w:rsid w:val="00246756"/>
    <w:rsid w:val="00251E58"/>
    <w:rsid w:val="00254605"/>
    <w:rsid w:val="00266D86"/>
    <w:rsid w:val="002728B4"/>
    <w:rsid w:val="0027600C"/>
    <w:rsid w:val="002925E4"/>
    <w:rsid w:val="00292712"/>
    <w:rsid w:val="002A487D"/>
    <w:rsid w:val="002C2E29"/>
    <w:rsid w:val="002C3041"/>
    <w:rsid w:val="002D1EE3"/>
    <w:rsid w:val="002F1D80"/>
    <w:rsid w:val="002F27C2"/>
    <w:rsid w:val="00307789"/>
    <w:rsid w:val="00314602"/>
    <w:rsid w:val="003232A2"/>
    <w:rsid w:val="00325C14"/>
    <w:rsid w:val="0035666D"/>
    <w:rsid w:val="0036422C"/>
    <w:rsid w:val="003710F6"/>
    <w:rsid w:val="00386E88"/>
    <w:rsid w:val="00396585"/>
    <w:rsid w:val="003979DC"/>
    <w:rsid w:val="003A272F"/>
    <w:rsid w:val="003B7999"/>
    <w:rsid w:val="003C6301"/>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2555A"/>
    <w:rsid w:val="00553C9D"/>
    <w:rsid w:val="00562A66"/>
    <w:rsid w:val="005B064E"/>
    <w:rsid w:val="005D51AE"/>
    <w:rsid w:val="0062674B"/>
    <w:rsid w:val="006363B2"/>
    <w:rsid w:val="00644940"/>
    <w:rsid w:val="006818A9"/>
    <w:rsid w:val="006A2D81"/>
    <w:rsid w:val="006C1D0D"/>
    <w:rsid w:val="006C2A45"/>
    <w:rsid w:val="0070601E"/>
    <w:rsid w:val="00712C72"/>
    <w:rsid w:val="00735FE9"/>
    <w:rsid w:val="00763CAA"/>
    <w:rsid w:val="00765F66"/>
    <w:rsid w:val="0078079E"/>
    <w:rsid w:val="0078664F"/>
    <w:rsid w:val="007C3FA6"/>
    <w:rsid w:val="007D585A"/>
    <w:rsid w:val="007D5A12"/>
    <w:rsid w:val="007E59F9"/>
    <w:rsid w:val="00810BCD"/>
    <w:rsid w:val="00812C98"/>
    <w:rsid w:val="00814D92"/>
    <w:rsid w:val="00823C25"/>
    <w:rsid w:val="0083181D"/>
    <w:rsid w:val="00843EB2"/>
    <w:rsid w:val="00865572"/>
    <w:rsid w:val="00874BBC"/>
    <w:rsid w:val="00890BFD"/>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16F9B"/>
    <w:rsid w:val="009203DB"/>
    <w:rsid w:val="00923CD4"/>
    <w:rsid w:val="00930EFE"/>
    <w:rsid w:val="00943386"/>
    <w:rsid w:val="009456B6"/>
    <w:rsid w:val="00957589"/>
    <w:rsid w:val="00966D06"/>
    <w:rsid w:val="00982412"/>
    <w:rsid w:val="00983A8D"/>
    <w:rsid w:val="009A0DB8"/>
    <w:rsid w:val="009A7257"/>
    <w:rsid w:val="009D6E0A"/>
    <w:rsid w:val="009E17E5"/>
    <w:rsid w:val="009E1E33"/>
    <w:rsid w:val="00A14672"/>
    <w:rsid w:val="00A26BD6"/>
    <w:rsid w:val="00A27A15"/>
    <w:rsid w:val="00A443CF"/>
    <w:rsid w:val="00A6611D"/>
    <w:rsid w:val="00A82CB7"/>
    <w:rsid w:val="00A942C1"/>
    <w:rsid w:val="00AA2F03"/>
    <w:rsid w:val="00AC36F7"/>
    <w:rsid w:val="00AC63A4"/>
    <w:rsid w:val="00AD239E"/>
    <w:rsid w:val="00AF1FBB"/>
    <w:rsid w:val="00B10265"/>
    <w:rsid w:val="00B16A99"/>
    <w:rsid w:val="00B21211"/>
    <w:rsid w:val="00B35784"/>
    <w:rsid w:val="00B53A58"/>
    <w:rsid w:val="00B733A7"/>
    <w:rsid w:val="00B75C91"/>
    <w:rsid w:val="00B77CB2"/>
    <w:rsid w:val="00B975AD"/>
    <w:rsid w:val="00BC2D8E"/>
    <w:rsid w:val="00BC45FB"/>
    <w:rsid w:val="00BF148D"/>
    <w:rsid w:val="00C23B1A"/>
    <w:rsid w:val="00C310EB"/>
    <w:rsid w:val="00C61239"/>
    <w:rsid w:val="00C9176A"/>
    <w:rsid w:val="00CF1AA2"/>
    <w:rsid w:val="00D17774"/>
    <w:rsid w:val="00D444D8"/>
    <w:rsid w:val="00D63620"/>
    <w:rsid w:val="00D8410D"/>
    <w:rsid w:val="00D867D7"/>
    <w:rsid w:val="00DB7060"/>
    <w:rsid w:val="00DE3153"/>
    <w:rsid w:val="00E05DAE"/>
    <w:rsid w:val="00E06736"/>
    <w:rsid w:val="00E13C27"/>
    <w:rsid w:val="00E33BBD"/>
    <w:rsid w:val="00E374F2"/>
    <w:rsid w:val="00E45103"/>
    <w:rsid w:val="00E459BD"/>
    <w:rsid w:val="00E55A60"/>
    <w:rsid w:val="00E62778"/>
    <w:rsid w:val="00E63D38"/>
    <w:rsid w:val="00E665B9"/>
    <w:rsid w:val="00EA01E6"/>
    <w:rsid w:val="00EA3DE8"/>
    <w:rsid w:val="00EA758F"/>
    <w:rsid w:val="00ED4A6F"/>
    <w:rsid w:val="00EF3A3A"/>
    <w:rsid w:val="00F628D6"/>
    <w:rsid w:val="00F67051"/>
    <w:rsid w:val="00F86A1E"/>
    <w:rsid w:val="00FA5A55"/>
    <w:rsid w:val="00FA5E88"/>
    <w:rsid w:val="00FD4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A1B7CC99-9798-4CF0-B28D-E680C726B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schemas.microsoft.com/office/infopath/2007/PartnerControls"/>
    <ds:schemaRef ds:uri="http://purl.org/dc/dcmityp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8FC39F49-C591-4971-8835-89780F47A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14D5056-F07B-420A-9A02-A8553F23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474</Words>
  <Characters>2370</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subject/>
  <dc:creator>מיקה צור</dc:creator>
  <cp:keywords/>
  <dc:description/>
  <cp:lastModifiedBy>לילך יעיש</cp:lastModifiedBy>
  <cp:revision>9</cp:revision>
  <cp:lastPrinted>2016-12-25T08:33:00Z</cp:lastPrinted>
  <dcterms:created xsi:type="dcterms:W3CDTF">2015-04-20T09:58:00Z</dcterms:created>
  <dcterms:modified xsi:type="dcterms:W3CDTF">2016-12-25T08:33:00Z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2010477</vt:r8>
  </property>
</Properties>
</file>