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2008065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51CE3FB7" w:rsidR="00E13C27" w:rsidRPr="00CF1AA2" w:rsidRDefault="008F6665" w:rsidP="002A1320">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יואל חסון</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דב חנין</w:t>
      </w:r>
      <w:r>
        <w:br/>
      </w:r>
      <w:r>
        <w:rPr>
          <w:rFonts w:hint="cs"/>
          <w:b/>
          <w:bCs/>
          <w:rtl/>
        </w:rPr>
        <w:t xml:space="preserve"> </w:t>
      </w:r>
      <w:r>
        <w:tab/>
      </w:r>
      <w:r>
        <w:tab/>
      </w:r>
      <w:r>
        <w:tab/>
      </w:r>
      <w:r>
        <w:tab/>
      </w:r>
      <w:r>
        <w:rPr>
          <w:rFonts w:hint="cs"/>
          <w:b/>
          <w:bCs/>
          <w:rtl/>
        </w:rPr>
        <w:t>קסניה סבטלובה</w:t>
      </w:r>
      <w:r>
        <w:br/>
      </w:r>
      <w:r>
        <w:rPr>
          <w:rFonts w:hint="cs"/>
          <w:b/>
          <w:bCs/>
          <w:rtl/>
        </w:rPr>
        <w:t xml:space="preserve"> </w:t>
      </w:r>
      <w:r>
        <w:tab/>
      </w:r>
      <w:r>
        <w:tab/>
      </w:r>
      <w:r>
        <w:tab/>
      </w:r>
      <w:r>
        <w:tab/>
      </w:r>
      <w:r>
        <w:rPr>
          <w:rFonts w:hint="cs"/>
          <w:b/>
          <w:bCs/>
          <w:rtl/>
        </w:rPr>
        <w:t>איילת נחמיאס ורבין</w:t>
      </w:r>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יעל כהן-פארן</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איתן ברושי</w:t>
      </w:r>
      <w:r>
        <w:br/>
      </w:r>
      <w:r>
        <w:rPr>
          <w:rFonts w:hint="cs"/>
          <w:b/>
          <w:bCs/>
          <w:rtl/>
        </w:rPr>
        <w:t xml:space="preserve"> </w:t>
      </w:r>
      <w:r>
        <w:tab/>
      </w:r>
      <w:r>
        <w:tab/>
      </w:r>
      <w:r>
        <w:tab/>
      </w:r>
      <w:r>
        <w:tab/>
      </w:r>
      <w:r>
        <w:rPr>
          <w:rFonts w:hint="cs"/>
          <w:b/>
          <w:bCs/>
          <w:rtl/>
        </w:rPr>
        <w:t>מיכל בירן</w:t>
      </w:r>
      <w:r>
        <w:br/>
      </w:r>
      <w:r>
        <w:rPr>
          <w:rFonts w:hint="cs"/>
          <w:b/>
          <w:bCs/>
          <w:rtl/>
        </w:rPr>
        <w:t xml:space="preserve"> </w:t>
      </w:r>
      <w:r>
        <w:tab/>
      </w:r>
      <w:r>
        <w:tab/>
      </w:r>
      <w:r>
        <w:tab/>
      </w:r>
      <w:r>
        <w:tab/>
      </w:r>
      <w:r>
        <w:rPr>
          <w:rFonts w:hint="cs"/>
          <w:b/>
          <w:bCs/>
          <w:rtl/>
        </w:rPr>
        <w:t>מיקי רוזנטל</w:t>
      </w:r>
      <w:r>
        <w:br/>
      </w:r>
      <w:r>
        <w:rPr>
          <w:rFonts w:hint="cs"/>
          <w:b/>
          <w:bCs/>
          <w:rtl/>
        </w:rPr>
        <w:t xml:space="preserve"> </w:t>
      </w:r>
      <w:r>
        <w:tab/>
      </w:r>
      <w:r>
        <w:tab/>
      </w:r>
      <w:r>
        <w:tab/>
      </w:r>
      <w:r>
        <w:tab/>
      </w:r>
      <w:r>
        <w:rPr>
          <w:rFonts w:hint="cs"/>
          <w:b/>
          <w:bCs/>
          <w:rtl/>
        </w:rPr>
        <w:t>איציק שמולי</w:t>
      </w:r>
      <w:r>
        <w:br/>
      </w:r>
      <w:r>
        <w:rPr>
          <w:rFonts w:hint="cs"/>
          <w:b/>
          <w:bCs/>
          <w:rtl/>
        </w:rPr>
        <w:t xml:space="preserve"> </w:t>
      </w:r>
      <w:r>
        <w:tab/>
      </w:r>
      <w:r>
        <w:tab/>
      </w:r>
      <w:r>
        <w:tab/>
      </w:r>
      <w:r>
        <w:tab/>
      </w:r>
      <w:r>
        <w:rPr>
          <w:rFonts w:hint="cs"/>
          <w:b/>
          <w:bCs/>
          <w:rtl/>
        </w:rPr>
        <w:t>יחיאל חיליק בר</w:t>
      </w:r>
      <w:r>
        <w:br/>
      </w:r>
      <w:r>
        <w:rPr>
          <w:rFonts w:hint="cs"/>
          <w:b/>
          <w:bCs/>
          <w:rtl/>
        </w:rPr>
        <w:t xml:space="preserve"> </w:t>
      </w:r>
      <w:r>
        <w:tab/>
      </w:r>
      <w:r>
        <w:tab/>
      </w:r>
      <w:r>
        <w:tab/>
      </w:r>
      <w:r>
        <w:tab/>
      </w:r>
      <w:r>
        <w:rPr>
          <w:rFonts w:hint="cs"/>
          <w:b/>
          <w:bCs/>
          <w:rtl/>
        </w:rPr>
        <w:t>אילן גילאון</w:t>
      </w:r>
      <w:r>
        <w:br/>
      </w:r>
      <w:r>
        <w:rPr>
          <w:rFonts w:hint="cs"/>
          <w:b/>
          <w:bCs/>
          <w:rtl/>
        </w:rPr>
        <w:t xml:space="preserve"> </w:t>
      </w:r>
      <w:r>
        <w:tab/>
      </w:r>
      <w:r>
        <w:tab/>
      </w:r>
      <w:r>
        <w:tab/>
      </w:r>
      <w:r>
        <w:tab/>
      </w:r>
      <w:r>
        <w:rPr>
          <w:rFonts w:hint="cs"/>
          <w:b/>
          <w:bCs/>
          <w:rtl/>
        </w:rPr>
        <w:t>עיסאווי פריג'</w:t>
      </w:r>
      <w:r>
        <w:br/>
      </w:r>
      <w:r>
        <w:rPr>
          <w:rFonts w:hint="cs"/>
          <w:b/>
          <w:bCs/>
          <w:rtl/>
        </w:rPr>
        <w:t xml:space="preserve"> </w:t>
      </w:r>
      <w:r>
        <w:tab/>
      </w:r>
      <w:r>
        <w:tab/>
      </w:r>
      <w:r>
        <w:tab/>
      </w:r>
      <w:r>
        <w:tab/>
      </w:r>
      <w:r>
        <w:rPr>
          <w:rFonts w:hint="cs"/>
          <w:b/>
          <w:bCs/>
          <w:rtl/>
        </w:rPr>
        <w:t>עבדאללה אבו מערוף</w:t>
      </w:r>
      <w:r>
        <w:br/>
      </w:r>
      <w:r>
        <w:rPr>
          <w:rFonts w:hint="cs"/>
          <w:b/>
          <w:bCs/>
          <w:rtl/>
        </w:rPr>
        <w:t xml:space="preserve"> </w:t>
      </w:r>
      <w:r>
        <w:tab/>
      </w:r>
      <w:r>
        <w:tab/>
      </w:r>
      <w:r>
        <w:tab/>
      </w:r>
      <w:r>
        <w:tab/>
      </w:r>
      <w:r>
        <w:rPr>
          <w:rFonts w:hint="cs"/>
          <w:b/>
          <w:bCs/>
          <w:rtl/>
        </w:rPr>
        <w:t>יוסף ג'בארין</w:t>
      </w:r>
      <w:r>
        <w:br/>
      </w:r>
      <w:r>
        <w:rPr>
          <w:rFonts w:hint="cs"/>
          <w:b/>
          <w:bCs/>
          <w:rtl/>
        </w:rPr>
        <w:t xml:space="preserve"> </w:t>
      </w:r>
      <w:r>
        <w:tab/>
      </w:r>
      <w:r>
        <w:tab/>
      </w:r>
      <w:r>
        <w:tab/>
      </w:r>
      <w:r>
        <w:tab/>
      </w:r>
      <w:r>
        <w:rPr>
          <w:rFonts w:hint="cs"/>
          <w:b/>
          <w:bCs/>
          <w:rtl/>
        </w:rPr>
        <w:t>חנין זועבי</w:t>
      </w:r>
      <w:r>
        <w:br/>
      </w:r>
      <w:r>
        <w:rPr>
          <w:rFonts w:hint="cs"/>
          <w:b/>
          <w:bCs/>
          <w:rtl/>
        </w:rPr>
        <w:t xml:space="preserve"> </w:t>
      </w:r>
      <w:r>
        <w:tab/>
      </w:r>
      <w:r>
        <w:tab/>
      </w:r>
      <w:r>
        <w:tab/>
      </w:r>
      <w:r>
        <w:tab/>
      </w:r>
      <w:r>
        <w:rPr>
          <w:rFonts w:hint="cs"/>
          <w:b/>
          <w:bCs/>
          <w:rtl/>
        </w:rPr>
        <w:t>סתיו שפיר</w:t>
      </w:r>
      <w:r>
        <w:br/>
      </w:r>
      <w:r>
        <w:rPr>
          <w:rFonts w:hint="cs"/>
          <w:b/>
          <w:bCs/>
          <w:rtl/>
        </w:rPr>
        <w:t xml:space="preserve"> </w:t>
      </w:r>
      <w:r>
        <w:tab/>
      </w:r>
      <w:r>
        <w:tab/>
      </w:r>
      <w:r>
        <w:tab/>
      </w:r>
      <w:r>
        <w:tab/>
      </w:r>
      <w:r>
        <w:rPr>
          <w:rFonts w:hint="cs"/>
          <w:b/>
          <w:bCs/>
          <w:rtl/>
        </w:rPr>
        <w:t>יעקב אשר</w:t>
      </w:r>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עמר בר-לב</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פ/3473/20</w:t>
      </w:r>
      <w:bookmarkEnd w:id="6"/>
    </w:p>
    <w:p w14:paraId="7F6961AD" w14:textId="42A7A588" w:rsidR="00E13C27" w:rsidRDefault="00A443CF" w:rsidP="00E62468">
      <w:pPr>
        <w:pStyle w:val="HeadHatzaotHok"/>
        <w:rPr>
          <w:rtl/>
        </w:rPr>
      </w:pPr>
      <w:bookmarkStart w:id="7" w:name="LGS_Subject"/>
      <w:r>
        <w:rPr>
          <w:rFonts w:hint="cs"/>
          <w:rtl/>
        </w:rPr>
        <w:t xml:space="preserve">הצעת חוק עבודת נשים (תיקון </w:t>
      </w:r>
      <w:r w:rsidR="00E62468">
        <w:rPr>
          <w:rFonts w:hint="eastAsia"/>
          <w:rtl/>
        </w:rPr>
        <w:t>–</w:t>
      </w:r>
      <w:r>
        <w:rPr>
          <w:rFonts w:hint="cs"/>
          <w:rtl/>
        </w:rPr>
        <w:t xml:space="preserve"> תקופת לידה והורות לבן זוג של עובדת שילדה יותר מילד אחד), התשע"ז</w:t>
      </w:r>
      <w:r w:rsidR="00E62468">
        <w:rPr>
          <w:rFonts w:hint="eastAsia"/>
          <w:rtl/>
        </w:rPr>
        <w:t>–</w:t>
      </w:r>
      <w:r>
        <w:rPr>
          <w:rFonts w:hint="cs"/>
          <w:rtl/>
        </w:rPr>
        <w:t>2016</w:t>
      </w:r>
      <w:bookmarkEnd w:id="7"/>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0"/>
        <w:gridCol w:w="624"/>
        <w:gridCol w:w="624"/>
        <w:gridCol w:w="6520"/>
      </w:tblGrid>
      <w:tr w:rsidR="00AC728E" w14:paraId="69D87729" w14:textId="77777777" w:rsidTr="006D1EDD">
        <w:trPr>
          <w:cantSplit/>
        </w:trPr>
        <w:tc>
          <w:tcPr>
            <w:tcW w:w="1870" w:type="dxa"/>
            <w:tcBorders>
              <w:top w:val="nil"/>
              <w:left w:val="nil"/>
              <w:right w:val="nil"/>
            </w:tcBorders>
          </w:tcPr>
          <w:p w14:paraId="59A529B8" w14:textId="0A1223AB" w:rsidR="00AC728E" w:rsidRDefault="00AC728E" w:rsidP="000D3ACD">
            <w:pPr>
              <w:pStyle w:val="TableSideHeading"/>
              <w:ind w:right="0"/>
              <w:rPr>
                <w:sz w:val="26"/>
                <w:rtl/>
              </w:rPr>
            </w:pPr>
            <w:r>
              <w:rPr>
                <w:rFonts w:hint="cs"/>
                <w:sz w:val="26"/>
                <w:rtl/>
              </w:rPr>
              <w:t>תיקון סעיף 6</w:t>
            </w:r>
          </w:p>
        </w:tc>
        <w:tc>
          <w:tcPr>
            <w:tcW w:w="624" w:type="dxa"/>
            <w:tcBorders>
              <w:top w:val="nil"/>
              <w:left w:val="nil"/>
              <w:right w:val="nil"/>
            </w:tcBorders>
          </w:tcPr>
          <w:p w14:paraId="303E6444" w14:textId="77777777" w:rsidR="00AC728E" w:rsidRDefault="00AC728E" w:rsidP="00C03F56">
            <w:pPr>
              <w:pStyle w:val="TableText"/>
              <w:ind w:right="0"/>
              <w:jc w:val="both"/>
              <w:rPr>
                <w:sz w:val="26"/>
                <w:rtl/>
              </w:rPr>
            </w:pPr>
            <w:r>
              <w:rPr>
                <w:sz w:val="26"/>
                <w:rtl/>
              </w:rPr>
              <w:t>1.</w:t>
            </w:r>
          </w:p>
        </w:tc>
        <w:tc>
          <w:tcPr>
            <w:tcW w:w="7144" w:type="dxa"/>
            <w:gridSpan w:val="2"/>
            <w:tcBorders>
              <w:top w:val="nil"/>
              <w:left w:val="nil"/>
              <w:right w:val="nil"/>
            </w:tcBorders>
          </w:tcPr>
          <w:p w14:paraId="6499582C" w14:textId="04E66804" w:rsidR="00AC728E" w:rsidRPr="000D3ACD" w:rsidRDefault="00AC728E" w:rsidP="00050714">
            <w:pPr>
              <w:pStyle w:val="TableBlock"/>
              <w:rPr>
                <w:rtl/>
              </w:rPr>
            </w:pPr>
            <w:r w:rsidRPr="000D3ACD">
              <w:rPr>
                <w:rtl/>
              </w:rPr>
              <w:t>בחוק עבודת נשים, התשי"ד–1954</w:t>
            </w:r>
            <w:r w:rsidRPr="006D1EDD">
              <w:rPr>
                <w:rStyle w:val="a6"/>
                <w:rtl/>
              </w:rPr>
              <w:footnoteReference w:id="2"/>
            </w:r>
            <w:r w:rsidR="000D3ACD">
              <w:rPr>
                <w:rFonts w:hint="cs"/>
                <w:rtl/>
              </w:rPr>
              <w:t xml:space="preserve">, </w:t>
            </w:r>
            <w:r w:rsidRPr="000D3ACD">
              <w:rPr>
                <w:rFonts w:hint="cs"/>
                <w:rtl/>
              </w:rPr>
              <w:t xml:space="preserve"> </w:t>
            </w:r>
            <w:r w:rsidR="000D3ACD">
              <w:rPr>
                <w:rFonts w:hint="cs"/>
                <w:rtl/>
              </w:rPr>
              <w:t>ב</w:t>
            </w:r>
            <w:r w:rsidRPr="000D3ACD">
              <w:rPr>
                <w:rFonts w:hint="cs"/>
                <w:rtl/>
              </w:rPr>
              <w:t xml:space="preserve">סעיף 6(ג), </w:t>
            </w:r>
            <w:r w:rsidR="00050714">
              <w:rPr>
                <w:rFonts w:hint="cs"/>
                <w:rtl/>
              </w:rPr>
              <w:t>בסופו</w:t>
            </w:r>
            <w:r w:rsidRPr="000D3ACD">
              <w:rPr>
                <w:rFonts w:hint="cs"/>
                <w:rtl/>
              </w:rPr>
              <w:t xml:space="preserve"> יבוא "</w:t>
            </w:r>
            <w:r w:rsidR="00050714">
              <w:rPr>
                <w:rFonts w:hint="cs"/>
                <w:rtl/>
              </w:rPr>
              <w:t>לעניין סעיף זה,</w:t>
            </w:r>
            <w:r w:rsidR="002A1320">
              <w:rPr>
                <w:rFonts w:hint="cs"/>
                <w:rtl/>
              </w:rPr>
              <w:t xml:space="preserve"> </w:t>
            </w:r>
            <w:r w:rsidR="00166CB2">
              <w:rPr>
                <w:rFonts w:hint="cs"/>
                <w:rtl/>
              </w:rPr>
              <w:t>בלי לגרוע מכל דין,</w:t>
            </w:r>
            <w:r w:rsidR="00050714">
              <w:rPr>
                <w:rFonts w:hint="cs"/>
                <w:rtl/>
              </w:rPr>
              <w:t xml:space="preserve"> </w:t>
            </w:r>
            <w:r w:rsidRPr="000D3ACD">
              <w:rPr>
                <w:rFonts w:hint="cs"/>
                <w:rtl/>
              </w:rPr>
              <w:t xml:space="preserve">עובד שבת זוגו ילדה בלידה אחת יותר מילד </w:t>
            </w:r>
            <w:r w:rsidR="00EC7E66">
              <w:rPr>
                <w:rFonts w:hint="cs"/>
                <w:rtl/>
              </w:rPr>
              <w:t>אחד, יהיה רשאי</w:t>
            </w:r>
            <w:r w:rsidRPr="000D3ACD">
              <w:rPr>
                <w:rFonts w:hint="cs"/>
                <w:rtl/>
              </w:rPr>
              <w:t xml:space="preserve"> לממש את שלושת השבועות האמורים, כולם או חלקם, במקום בת זוגו</w:t>
            </w:r>
            <w:r w:rsidR="00287003">
              <w:rPr>
                <w:rFonts w:hint="cs"/>
                <w:rtl/>
              </w:rPr>
              <w:t xml:space="preserve"> ובהסכמתה,</w:t>
            </w:r>
            <w:r w:rsidRPr="000D3ACD">
              <w:rPr>
                <w:rFonts w:hint="cs"/>
                <w:rtl/>
              </w:rPr>
              <w:t xml:space="preserve"> בתוך תקופת הלידה וההורות</w:t>
            </w:r>
            <w:r w:rsidR="00287003">
              <w:rPr>
                <w:rFonts w:hint="cs"/>
                <w:rtl/>
              </w:rPr>
              <w:t xml:space="preserve"> של בת הזוג</w:t>
            </w:r>
            <w:r w:rsidR="00050714">
              <w:rPr>
                <w:rFonts w:hint="cs"/>
                <w:rtl/>
              </w:rPr>
              <w:t>,</w:t>
            </w:r>
            <w:r w:rsidRPr="000D3ACD">
              <w:rPr>
                <w:rFonts w:hint="cs"/>
                <w:rtl/>
              </w:rPr>
              <w:t xml:space="preserve"> החל מיום הלידה</w:t>
            </w:r>
            <w:r w:rsidR="00287003">
              <w:rPr>
                <w:rFonts w:hint="cs"/>
                <w:rtl/>
              </w:rPr>
              <w:t xml:space="preserve"> ואילך</w:t>
            </w:r>
            <w:r w:rsidRPr="000D3ACD">
              <w:rPr>
                <w:rFonts w:hint="cs"/>
                <w:rtl/>
              </w:rPr>
              <w:t>."</w:t>
            </w:r>
          </w:p>
        </w:tc>
      </w:tr>
      <w:tr w:rsidR="00AC728E" w14:paraId="244C58CB" w14:textId="77777777" w:rsidTr="006D1EDD">
        <w:trPr>
          <w:cantSplit/>
        </w:trPr>
        <w:tc>
          <w:tcPr>
            <w:tcW w:w="1870" w:type="dxa"/>
            <w:tcBorders>
              <w:top w:val="nil"/>
              <w:left w:val="nil"/>
              <w:right w:val="nil"/>
            </w:tcBorders>
          </w:tcPr>
          <w:p w14:paraId="30603E4E" w14:textId="77777777" w:rsidR="00AC728E" w:rsidRDefault="00AC728E" w:rsidP="00C03F56">
            <w:pPr>
              <w:pStyle w:val="TableSideHeading"/>
              <w:rPr>
                <w:sz w:val="26"/>
                <w:rtl/>
              </w:rPr>
            </w:pPr>
            <w:r>
              <w:rPr>
                <w:sz w:val="26"/>
                <w:rtl/>
              </w:rPr>
              <w:lastRenderedPageBreak/>
              <w:t>תיקון חוק הביטוח הלאומי</w:t>
            </w:r>
          </w:p>
        </w:tc>
        <w:tc>
          <w:tcPr>
            <w:tcW w:w="624" w:type="dxa"/>
            <w:tcBorders>
              <w:top w:val="nil"/>
              <w:left w:val="nil"/>
              <w:bottom w:val="nil"/>
              <w:right w:val="nil"/>
            </w:tcBorders>
          </w:tcPr>
          <w:p w14:paraId="77430B14" w14:textId="46F1D8BF" w:rsidR="00AC728E" w:rsidRDefault="000D3ACD" w:rsidP="00C03F56">
            <w:pPr>
              <w:pStyle w:val="TableText"/>
              <w:rPr>
                <w:sz w:val="26"/>
                <w:rtl/>
              </w:rPr>
            </w:pPr>
            <w:r>
              <w:rPr>
                <w:rFonts w:hint="cs"/>
                <w:sz w:val="26"/>
                <w:rtl/>
              </w:rPr>
              <w:t>2</w:t>
            </w:r>
            <w:r w:rsidR="00AC728E">
              <w:rPr>
                <w:sz w:val="26"/>
                <w:rtl/>
              </w:rPr>
              <w:t>.</w:t>
            </w:r>
          </w:p>
        </w:tc>
        <w:tc>
          <w:tcPr>
            <w:tcW w:w="7144" w:type="dxa"/>
            <w:gridSpan w:val="2"/>
            <w:tcBorders>
              <w:top w:val="nil"/>
              <w:left w:val="nil"/>
              <w:bottom w:val="nil"/>
              <w:right w:val="nil"/>
            </w:tcBorders>
          </w:tcPr>
          <w:p w14:paraId="620CE8D0" w14:textId="224D056D" w:rsidR="00AC728E" w:rsidRDefault="00AC728E" w:rsidP="00C34BFF">
            <w:pPr>
              <w:pStyle w:val="TableBlock"/>
              <w:rPr>
                <w:sz w:val="26"/>
                <w:rtl/>
              </w:rPr>
            </w:pPr>
            <w:r>
              <w:rPr>
                <w:sz w:val="26"/>
                <w:rtl/>
              </w:rPr>
              <w:t>בחוק הביטוח הלאומי [נוסח משולב], התשנ"ה–1995</w:t>
            </w:r>
            <w:r w:rsidR="000D3ACD">
              <w:rPr>
                <w:rStyle w:val="a6"/>
                <w:sz w:val="26"/>
                <w:rtl/>
              </w:rPr>
              <w:footnoteReference w:id="3"/>
            </w:r>
            <w:r w:rsidR="000D3ACD">
              <w:rPr>
                <w:rFonts w:hint="cs"/>
                <w:sz w:val="26"/>
                <w:rtl/>
              </w:rPr>
              <w:t xml:space="preserve">, בסעיף 49 </w:t>
            </w:r>
            <w:r w:rsidR="000D3ACD">
              <w:rPr>
                <w:rFonts w:hint="eastAsia"/>
                <w:sz w:val="26"/>
                <w:rtl/>
              </w:rPr>
              <w:t>–</w:t>
            </w:r>
          </w:p>
        </w:tc>
      </w:tr>
      <w:tr w:rsidR="000D3ACD" w14:paraId="5169ACAC" w14:textId="77777777" w:rsidTr="006D1EDD">
        <w:trPr>
          <w:cantSplit/>
        </w:trPr>
        <w:tc>
          <w:tcPr>
            <w:tcW w:w="1870" w:type="dxa"/>
            <w:tcBorders>
              <w:top w:val="nil"/>
              <w:left w:val="nil"/>
              <w:right w:val="nil"/>
            </w:tcBorders>
          </w:tcPr>
          <w:p w14:paraId="5E407517" w14:textId="77777777" w:rsidR="000D3ACD" w:rsidRDefault="000D3ACD" w:rsidP="00C03F56">
            <w:pPr>
              <w:pStyle w:val="TableSideHeading"/>
              <w:rPr>
                <w:sz w:val="26"/>
                <w:rtl/>
              </w:rPr>
            </w:pPr>
          </w:p>
        </w:tc>
        <w:tc>
          <w:tcPr>
            <w:tcW w:w="624" w:type="dxa"/>
            <w:tcBorders>
              <w:top w:val="nil"/>
              <w:left w:val="nil"/>
              <w:bottom w:val="nil"/>
              <w:right w:val="nil"/>
            </w:tcBorders>
          </w:tcPr>
          <w:p w14:paraId="69D8DF53" w14:textId="77777777" w:rsidR="000D3ACD" w:rsidRDefault="000D3ACD" w:rsidP="000D3ACD">
            <w:pPr>
              <w:pStyle w:val="TableText"/>
              <w:rPr>
                <w:rtl/>
              </w:rPr>
            </w:pPr>
          </w:p>
        </w:tc>
        <w:tc>
          <w:tcPr>
            <w:tcW w:w="7144" w:type="dxa"/>
            <w:gridSpan w:val="2"/>
            <w:tcBorders>
              <w:top w:val="nil"/>
              <w:left w:val="nil"/>
              <w:bottom w:val="nil"/>
              <w:right w:val="nil"/>
            </w:tcBorders>
          </w:tcPr>
          <w:p w14:paraId="3FFC698A" w14:textId="4C15B755" w:rsidR="000D3ACD" w:rsidRDefault="000D3ACD" w:rsidP="002A1320">
            <w:pPr>
              <w:pStyle w:val="TableBlock"/>
              <w:rPr>
                <w:sz w:val="26"/>
                <w:rtl/>
              </w:rPr>
            </w:pPr>
            <w:r>
              <w:rPr>
                <w:rFonts w:hint="cs"/>
                <w:sz w:val="26"/>
                <w:rtl/>
              </w:rPr>
              <w:t>(1)</w:t>
            </w:r>
            <w:r w:rsidR="00C34BFF">
              <w:rPr>
                <w:sz w:val="26"/>
                <w:rtl/>
              </w:rPr>
              <w:tab/>
            </w:r>
            <w:r w:rsidR="00C34BFF">
              <w:rPr>
                <w:rFonts w:hint="cs"/>
                <w:sz w:val="26"/>
                <w:rtl/>
              </w:rPr>
              <w:t>בסעיף קטן (ב), במקום "לפי סעיף 6(ח)" יבוא "לפי סעיף 6(ג) ו-(ח)";</w:t>
            </w:r>
          </w:p>
        </w:tc>
      </w:tr>
      <w:tr w:rsidR="00C34BFF" w14:paraId="4464C2C9" w14:textId="77777777" w:rsidTr="006D1EDD">
        <w:trPr>
          <w:cantSplit/>
        </w:trPr>
        <w:tc>
          <w:tcPr>
            <w:tcW w:w="1870" w:type="dxa"/>
            <w:tcBorders>
              <w:top w:val="nil"/>
              <w:left w:val="nil"/>
              <w:right w:val="nil"/>
            </w:tcBorders>
          </w:tcPr>
          <w:p w14:paraId="4AE548B1" w14:textId="77777777" w:rsidR="00C34BFF" w:rsidRDefault="00C34BFF" w:rsidP="00C03F56">
            <w:pPr>
              <w:pStyle w:val="TableSideHeading"/>
              <w:rPr>
                <w:sz w:val="26"/>
                <w:rtl/>
              </w:rPr>
            </w:pPr>
          </w:p>
        </w:tc>
        <w:tc>
          <w:tcPr>
            <w:tcW w:w="624" w:type="dxa"/>
            <w:tcBorders>
              <w:top w:val="nil"/>
              <w:left w:val="nil"/>
              <w:bottom w:val="nil"/>
              <w:right w:val="nil"/>
            </w:tcBorders>
          </w:tcPr>
          <w:p w14:paraId="5922909B" w14:textId="77777777" w:rsidR="00C34BFF" w:rsidRDefault="00C34BFF" w:rsidP="00C34BFF">
            <w:pPr>
              <w:pStyle w:val="TableText"/>
              <w:rPr>
                <w:rtl/>
              </w:rPr>
            </w:pPr>
          </w:p>
        </w:tc>
        <w:tc>
          <w:tcPr>
            <w:tcW w:w="7144" w:type="dxa"/>
            <w:gridSpan w:val="2"/>
            <w:tcBorders>
              <w:top w:val="nil"/>
              <w:left w:val="nil"/>
              <w:bottom w:val="nil"/>
              <w:right w:val="nil"/>
            </w:tcBorders>
          </w:tcPr>
          <w:p w14:paraId="1E127023" w14:textId="499B9B5F" w:rsidR="00C34BFF" w:rsidRDefault="00C34BFF" w:rsidP="00C34BFF">
            <w:pPr>
              <w:pStyle w:val="TableBlock"/>
              <w:rPr>
                <w:sz w:val="26"/>
                <w:rtl/>
              </w:rPr>
            </w:pPr>
            <w:r>
              <w:rPr>
                <w:rFonts w:hint="cs"/>
                <w:sz w:val="26"/>
                <w:rtl/>
              </w:rPr>
              <w:t>(2)</w:t>
            </w:r>
            <w:r>
              <w:rPr>
                <w:sz w:val="26"/>
                <w:rtl/>
              </w:rPr>
              <w:tab/>
            </w:r>
            <w:r>
              <w:rPr>
                <w:rFonts w:hint="cs"/>
                <w:sz w:val="26"/>
                <w:rtl/>
              </w:rPr>
              <w:t xml:space="preserve">בסעיף קטן (ג) </w:t>
            </w:r>
            <w:r>
              <w:rPr>
                <w:rFonts w:hint="eastAsia"/>
                <w:sz w:val="26"/>
                <w:rtl/>
              </w:rPr>
              <w:t>–</w:t>
            </w:r>
          </w:p>
        </w:tc>
      </w:tr>
      <w:tr w:rsidR="00C34BFF" w14:paraId="5DE5C21A" w14:textId="77777777" w:rsidTr="006D1EDD">
        <w:tblPrEx>
          <w:tblLook w:val="01E0" w:firstRow="1" w:lastRow="1" w:firstColumn="1" w:lastColumn="1" w:noHBand="0" w:noVBand="0"/>
        </w:tblPrEx>
        <w:trPr>
          <w:cantSplit/>
          <w:trHeight w:val="60"/>
        </w:trPr>
        <w:tc>
          <w:tcPr>
            <w:tcW w:w="1870" w:type="dxa"/>
          </w:tcPr>
          <w:p w14:paraId="71A46BA4" w14:textId="77777777" w:rsidR="00C34BFF" w:rsidRDefault="00C34BFF">
            <w:pPr>
              <w:pStyle w:val="TableSideHeading"/>
            </w:pPr>
          </w:p>
        </w:tc>
        <w:tc>
          <w:tcPr>
            <w:tcW w:w="624" w:type="dxa"/>
          </w:tcPr>
          <w:p w14:paraId="4BC27481" w14:textId="77777777" w:rsidR="00C34BFF" w:rsidRDefault="00C34BFF">
            <w:pPr>
              <w:pStyle w:val="TableText"/>
            </w:pPr>
          </w:p>
        </w:tc>
        <w:tc>
          <w:tcPr>
            <w:tcW w:w="624" w:type="dxa"/>
          </w:tcPr>
          <w:p w14:paraId="7DFC5180" w14:textId="77777777" w:rsidR="00C34BFF" w:rsidRDefault="00C34BFF">
            <w:pPr>
              <w:pStyle w:val="TableText"/>
            </w:pPr>
          </w:p>
        </w:tc>
        <w:tc>
          <w:tcPr>
            <w:tcW w:w="6520" w:type="dxa"/>
          </w:tcPr>
          <w:p w14:paraId="53CF9721" w14:textId="27F6A6E3" w:rsidR="00C34BFF" w:rsidRDefault="00C34BFF" w:rsidP="00050714">
            <w:pPr>
              <w:pStyle w:val="TableBlock"/>
            </w:pPr>
            <w:r>
              <w:rPr>
                <w:rFonts w:hint="cs"/>
                <w:rtl/>
              </w:rPr>
              <w:t>(א)</w:t>
            </w:r>
            <w:r>
              <w:rPr>
                <w:rtl/>
              </w:rPr>
              <w:tab/>
            </w:r>
            <w:r>
              <w:rPr>
                <w:rFonts w:hint="cs"/>
                <w:rtl/>
              </w:rPr>
              <w:t xml:space="preserve">בפסקה (1), </w:t>
            </w:r>
            <w:r w:rsidR="00050714">
              <w:rPr>
                <w:rFonts w:hint="cs"/>
                <w:rtl/>
              </w:rPr>
              <w:t>בסופה</w:t>
            </w:r>
            <w:r w:rsidRPr="00DD558A">
              <w:rPr>
                <w:rFonts w:hint="cs"/>
                <w:rtl/>
              </w:rPr>
              <w:t xml:space="preserve"> יבוא "אלא אם </w:t>
            </w:r>
            <w:r w:rsidR="002A1320">
              <w:rPr>
                <w:rFonts w:hint="cs"/>
                <w:rtl/>
              </w:rPr>
              <w:t xml:space="preserve">כן </w:t>
            </w:r>
            <w:r w:rsidRPr="00DD558A">
              <w:rPr>
                <w:rFonts w:hint="cs"/>
                <w:rtl/>
              </w:rPr>
              <w:t>התקיימו התנאים האמורים בסעיף</w:t>
            </w:r>
            <w:r>
              <w:rPr>
                <w:rStyle w:val="default"/>
                <w:rFonts w:cs="FrankRuehl" w:hint="cs"/>
                <w:rtl/>
              </w:rPr>
              <w:t xml:space="preserve"> </w:t>
            </w:r>
            <w:r>
              <w:rPr>
                <w:rFonts w:hint="cs"/>
                <w:sz w:val="26"/>
                <w:rtl/>
              </w:rPr>
              <w:t>6(ג) לחוק עבודת נשים."</w:t>
            </w:r>
          </w:p>
        </w:tc>
      </w:tr>
      <w:tr w:rsidR="00C34BFF" w14:paraId="0656F618" w14:textId="77777777" w:rsidTr="006D1EDD">
        <w:tblPrEx>
          <w:tblLook w:val="01E0" w:firstRow="1" w:lastRow="1" w:firstColumn="1" w:lastColumn="1" w:noHBand="0" w:noVBand="0"/>
        </w:tblPrEx>
        <w:trPr>
          <w:cantSplit/>
          <w:trHeight w:val="60"/>
        </w:trPr>
        <w:tc>
          <w:tcPr>
            <w:tcW w:w="1870" w:type="dxa"/>
          </w:tcPr>
          <w:p w14:paraId="26F9E867" w14:textId="77777777" w:rsidR="00C34BFF" w:rsidRDefault="00C34BFF">
            <w:pPr>
              <w:pStyle w:val="TableSideHeading"/>
              <w:rPr>
                <w:rtl/>
              </w:rPr>
            </w:pPr>
          </w:p>
        </w:tc>
        <w:tc>
          <w:tcPr>
            <w:tcW w:w="624" w:type="dxa"/>
          </w:tcPr>
          <w:p w14:paraId="5C558112" w14:textId="77777777" w:rsidR="00C34BFF" w:rsidRDefault="00C34BFF" w:rsidP="00C34BFF">
            <w:pPr>
              <w:pStyle w:val="TableText"/>
            </w:pPr>
          </w:p>
        </w:tc>
        <w:tc>
          <w:tcPr>
            <w:tcW w:w="624" w:type="dxa"/>
          </w:tcPr>
          <w:p w14:paraId="57457E95" w14:textId="77777777" w:rsidR="00C34BFF" w:rsidRDefault="00C34BFF">
            <w:pPr>
              <w:pStyle w:val="TableText"/>
            </w:pPr>
          </w:p>
        </w:tc>
        <w:tc>
          <w:tcPr>
            <w:tcW w:w="6520" w:type="dxa"/>
          </w:tcPr>
          <w:p w14:paraId="2015FB50" w14:textId="64EB4846" w:rsidR="00C34BFF" w:rsidRDefault="00C34BFF" w:rsidP="00050714">
            <w:pPr>
              <w:pStyle w:val="TableBlock"/>
              <w:rPr>
                <w:rtl/>
              </w:rPr>
            </w:pPr>
            <w:r>
              <w:rPr>
                <w:rFonts w:hint="cs"/>
                <w:rtl/>
              </w:rPr>
              <w:t>(ב)</w:t>
            </w:r>
            <w:r>
              <w:rPr>
                <w:rtl/>
              </w:rPr>
              <w:tab/>
            </w:r>
            <w:r>
              <w:rPr>
                <w:rFonts w:hint="cs"/>
                <w:rtl/>
              </w:rPr>
              <w:t xml:space="preserve">בפסקה (3), </w:t>
            </w:r>
            <w:r w:rsidR="00050714">
              <w:rPr>
                <w:rFonts w:hint="cs"/>
                <w:sz w:val="26"/>
                <w:rtl/>
              </w:rPr>
              <w:t>בסופה</w:t>
            </w:r>
            <w:r w:rsidRPr="00CC45FE">
              <w:rPr>
                <w:rFonts w:hint="cs"/>
                <w:sz w:val="26"/>
                <w:rtl/>
              </w:rPr>
              <w:t xml:space="preserve"> יבוא "אלא אם </w:t>
            </w:r>
            <w:r w:rsidR="002A1320">
              <w:rPr>
                <w:rFonts w:hint="cs"/>
                <w:sz w:val="26"/>
                <w:rtl/>
              </w:rPr>
              <w:t xml:space="preserve">כן </w:t>
            </w:r>
            <w:r w:rsidRPr="00CC45FE">
              <w:rPr>
                <w:rFonts w:hint="cs"/>
                <w:sz w:val="26"/>
                <w:rtl/>
              </w:rPr>
              <w:t>התקיימו התנאים האמורים בסעיף</w:t>
            </w:r>
            <w:r w:rsidRPr="00CC45FE">
              <w:rPr>
                <w:rFonts w:hint="cs"/>
                <w:rtl/>
              </w:rPr>
              <w:t xml:space="preserve"> </w:t>
            </w:r>
            <w:r>
              <w:rPr>
                <w:rFonts w:hint="cs"/>
                <w:sz w:val="26"/>
                <w:rtl/>
              </w:rPr>
              <w:t>6(ג) לחוק עבודת נשים."</w:t>
            </w:r>
          </w:p>
        </w:tc>
      </w:tr>
      <w:tr w:rsidR="00AC728E" w14:paraId="78F4954D" w14:textId="77777777" w:rsidTr="006D1EDD">
        <w:trPr>
          <w:cantSplit/>
        </w:trPr>
        <w:tc>
          <w:tcPr>
            <w:tcW w:w="1870" w:type="dxa"/>
            <w:tcBorders>
              <w:top w:val="nil"/>
              <w:left w:val="nil"/>
              <w:bottom w:val="nil"/>
              <w:right w:val="nil"/>
            </w:tcBorders>
          </w:tcPr>
          <w:p w14:paraId="561C50A3" w14:textId="26FB1F7B" w:rsidR="00AC728E" w:rsidRDefault="00AC728E" w:rsidP="00C03F56">
            <w:pPr>
              <w:pStyle w:val="TableSideHeading"/>
              <w:rPr>
                <w:sz w:val="26"/>
                <w:rtl/>
              </w:rPr>
            </w:pPr>
            <w:r>
              <w:rPr>
                <w:sz w:val="26"/>
                <w:rtl/>
              </w:rPr>
              <w:t>תחולה</w:t>
            </w:r>
          </w:p>
        </w:tc>
        <w:tc>
          <w:tcPr>
            <w:tcW w:w="624" w:type="dxa"/>
            <w:tcBorders>
              <w:top w:val="nil"/>
              <w:left w:val="nil"/>
              <w:bottom w:val="nil"/>
              <w:right w:val="nil"/>
            </w:tcBorders>
          </w:tcPr>
          <w:p w14:paraId="174E56C2" w14:textId="0AF37F17" w:rsidR="00AC728E" w:rsidRDefault="002B783C" w:rsidP="00C03F56">
            <w:pPr>
              <w:pStyle w:val="TableText"/>
              <w:rPr>
                <w:sz w:val="26"/>
                <w:rtl/>
              </w:rPr>
            </w:pPr>
            <w:r>
              <w:rPr>
                <w:rFonts w:hint="cs"/>
                <w:sz w:val="26"/>
                <w:rtl/>
              </w:rPr>
              <w:t>3</w:t>
            </w:r>
            <w:r w:rsidR="00AC728E">
              <w:rPr>
                <w:sz w:val="26"/>
                <w:rtl/>
              </w:rPr>
              <w:t>.</w:t>
            </w:r>
          </w:p>
        </w:tc>
        <w:tc>
          <w:tcPr>
            <w:tcW w:w="7144" w:type="dxa"/>
            <w:gridSpan w:val="2"/>
            <w:tcBorders>
              <w:top w:val="nil"/>
              <w:left w:val="nil"/>
              <w:bottom w:val="nil"/>
              <w:right w:val="nil"/>
            </w:tcBorders>
          </w:tcPr>
          <w:p w14:paraId="33630647" w14:textId="4ED59046" w:rsidR="00AC728E" w:rsidRDefault="00AC728E" w:rsidP="00287003">
            <w:pPr>
              <w:pStyle w:val="TableBlock"/>
              <w:rPr>
                <w:sz w:val="26"/>
                <w:rtl/>
              </w:rPr>
            </w:pPr>
            <w:r>
              <w:rPr>
                <w:sz w:val="26"/>
                <w:rtl/>
              </w:rPr>
              <w:t xml:space="preserve">חוק זה יחול על עובדת </w:t>
            </w:r>
            <w:r>
              <w:rPr>
                <w:rFonts w:hint="cs"/>
                <w:sz w:val="26"/>
                <w:rtl/>
              </w:rPr>
              <w:t xml:space="preserve">ובן זוגה </w:t>
            </w:r>
            <w:r w:rsidR="00287003">
              <w:rPr>
                <w:rFonts w:hint="cs"/>
                <w:sz w:val="26"/>
                <w:rtl/>
              </w:rPr>
              <w:t>שילדה</w:t>
            </w:r>
            <w:r>
              <w:rPr>
                <w:rFonts w:hint="cs"/>
                <w:sz w:val="26"/>
                <w:rtl/>
              </w:rPr>
              <w:t xml:space="preserve"> </w:t>
            </w:r>
            <w:r>
              <w:rPr>
                <w:sz w:val="26"/>
                <w:rtl/>
              </w:rPr>
              <w:t>ביום תחילתו של חוק זה ואילך.</w:t>
            </w:r>
          </w:p>
        </w:tc>
      </w:tr>
    </w:tbl>
    <w:p w14:paraId="7F6961CA" w14:textId="77777777" w:rsidR="002D1EE3" w:rsidRDefault="002D1EE3" w:rsidP="002D1EE3">
      <w:pPr>
        <w:pStyle w:val="HeadDivreiHesber"/>
        <w:rPr>
          <w:rtl/>
        </w:rPr>
      </w:pPr>
      <w:r w:rsidRPr="0027450A">
        <w:rPr>
          <w:rFonts w:hint="cs"/>
          <w:rtl/>
        </w:rPr>
        <w:t>דברי הסבר</w:t>
      </w:r>
    </w:p>
    <w:p w14:paraId="291FB3C9" w14:textId="77777777" w:rsidR="00AC728E" w:rsidRDefault="00AC728E" w:rsidP="00AC728E">
      <w:pPr>
        <w:pStyle w:val="Hesber"/>
        <w:rPr>
          <w:rtl/>
        </w:rPr>
      </w:pPr>
      <w:r>
        <w:rPr>
          <w:rFonts w:hint="cs"/>
          <w:rtl/>
        </w:rPr>
        <w:t xml:space="preserve">הולדת תינוק היא אירוע שמח ומכונן בחיי ההורים, אך גם תובעני מאוד. שני ההורים נדרשים להשקיע משאבים פיזיים ונפשיים חריגים כדי לטפל ברך הנולד בצעדיו הראשונים בעולם. כאשר מדובר בהולדת תאומים או שלישיה (ואף למעלה מכך, אם כי מדובר במקרים נדירים מאוד) </w:t>
      </w:r>
      <w:r>
        <w:rPr>
          <w:rtl/>
        </w:rPr>
        <w:t>–</w:t>
      </w:r>
      <w:r>
        <w:rPr>
          <w:rFonts w:hint="cs"/>
          <w:rtl/>
        </w:rPr>
        <w:t xml:space="preserve"> הקושי שאיתו מתמודדים ההורים הוא כפול, ובהתאם, נדרשים מהם משאבים גדולים בהרבה. </w:t>
      </w:r>
    </w:p>
    <w:p w14:paraId="4040F871" w14:textId="1544EA60" w:rsidR="00AC728E" w:rsidRDefault="00AC728E" w:rsidP="00166CB2">
      <w:pPr>
        <w:pStyle w:val="Hesber"/>
        <w:rPr>
          <w:rtl/>
        </w:rPr>
      </w:pPr>
      <w:r>
        <w:rPr>
          <w:rFonts w:hint="cs"/>
          <w:rtl/>
        </w:rPr>
        <w:t>למרות זאת, חוק עבודת נשים, התשי"ד</w:t>
      </w:r>
      <w:r w:rsidR="00166CB2">
        <w:rPr>
          <w:rFonts w:hint="eastAsia"/>
          <w:rtl/>
        </w:rPr>
        <w:t>–</w:t>
      </w:r>
      <w:r>
        <w:rPr>
          <w:rFonts w:hint="cs"/>
          <w:rtl/>
        </w:rPr>
        <w:t xml:space="preserve">1954 (להלן </w:t>
      </w:r>
      <w:r>
        <w:rPr>
          <w:rtl/>
        </w:rPr>
        <w:t>–</w:t>
      </w:r>
      <w:r>
        <w:rPr>
          <w:rFonts w:hint="cs"/>
          <w:rtl/>
        </w:rPr>
        <w:t xml:space="preserve"> החוק)</w:t>
      </w:r>
      <w:r w:rsidR="00166CB2">
        <w:rPr>
          <w:rFonts w:hint="cs"/>
          <w:rtl/>
        </w:rPr>
        <w:t>,</w:t>
      </w:r>
      <w:r>
        <w:rPr>
          <w:rFonts w:hint="cs"/>
          <w:rtl/>
        </w:rPr>
        <w:t xml:space="preserve"> בנוסחו הקיים אינו נותן מענה מספק לקושי הייחודי עמו מתמודדים </w:t>
      </w:r>
      <w:r w:rsidR="00166CB2">
        <w:rPr>
          <w:rFonts w:hint="cs"/>
          <w:rtl/>
        </w:rPr>
        <w:t>שני ה</w:t>
      </w:r>
      <w:r>
        <w:rPr>
          <w:rFonts w:hint="cs"/>
          <w:rtl/>
        </w:rPr>
        <w:t xml:space="preserve">הורים שלהם נולד יותר מילד אחד בלידה אחת. החוק מטפל בעיקר בתרחיש הטיפוסי והנפוץ יותר (כ-95% מהלידות בקירוב) של הולדת ילד אחד. במצב כזה, ככלל, האם זכאית לתקופת לידה והורות בתשלום שנמשכת עד 14 שבועות, ואילו האב זכאי לחופשה של 5 ימים מיד לאחר הלידה. באפשרותו גם להחליף את האם החל מהשבוע השביעי ללידה. ההסדר הקיים אמנם משמר </w:t>
      </w:r>
      <w:r w:rsidR="00166CB2">
        <w:rPr>
          <w:rFonts w:hint="cs"/>
          <w:rtl/>
        </w:rPr>
        <w:t xml:space="preserve">אפוא </w:t>
      </w:r>
      <w:r>
        <w:rPr>
          <w:rFonts w:hint="cs"/>
          <w:rtl/>
        </w:rPr>
        <w:t>את החלוקות המגדריות המסורתיות בין גברים לנשים ונתון לביקורת בשל כך, אך אין ספק שהוא מייצג שיפור משמעותי במצבת הזכויות של האבות והאימהות לעומת המצב הקודם</w:t>
      </w:r>
      <w:r w:rsidR="00166CB2">
        <w:rPr>
          <w:rFonts w:hint="cs"/>
          <w:rtl/>
        </w:rPr>
        <w:t xml:space="preserve">.  </w:t>
      </w:r>
      <w:r>
        <w:rPr>
          <w:rFonts w:hint="cs"/>
          <w:rtl/>
        </w:rPr>
        <w:t>תקופת הלידה וההורות של האם הוארכה, לאב ניתנה חופשה (גם אם קצרה וסמלית), ולבני הזוג ניתנה אוטונומיה, ש</w:t>
      </w:r>
      <w:r w:rsidR="002A1320">
        <w:rPr>
          <w:rFonts w:hint="cs"/>
          <w:rtl/>
        </w:rPr>
        <w:t>לא הי</w:t>
      </w:r>
      <w:r>
        <w:rPr>
          <w:rFonts w:hint="cs"/>
          <w:rtl/>
        </w:rPr>
        <w:t>תה קיימת בעבר, להתחלף ביניהם במהלך התקופה.</w:t>
      </w:r>
    </w:p>
    <w:p w14:paraId="1787D966" w14:textId="2F290566" w:rsidR="00AC728E" w:rsidRDefault="00AC728E" w:rsidP="00AC728E">
      <w:pPr>
        <w:pStyle w:val="Hesber"/>
        <w:rPr>
          <w:rtl/>
        </w:rPr>
      </w:pPr>
      <w:r>
        <w:rPr>
          <w:rFonts w:hint="cs"/>
          <w:rtl/>
        </w:rPr>
        <w:t>עבור התרחיש הנדיר יותר של הולדת תאומים ומעלה, החוק קובע (בסעיף 6(ג)) שעובדת שילדה</w:t>
      </w:r>
      <w:r w:rsidR="00166CB2">
        <w:rPr>
          <w:rFonts w:hint="cs"/>
          <w:rtl/>
        </w:rPr>
        <w:t xml:space="preserve"> בלידה אחת</w:t>
      </w:r>
      <w:r>
        <w:rPr>
          <w:rFonts w:hint="cs"/>
          <w:rtl/>
        </w:rPr>
        <w:t xml:space="preserve"> יותר מילד אחד</w:t>
      </w:r>
      <w:r w:rsidR="00166CB2">
        <w:rPr>
          <w:rFonts w:hint="cs"/>
          <w:rtl/>
        </w:rPr>
        <w:t>,</w:t>
      </w:r>
      <w:r>
        <w:rPr>
          <w:rFonts w:hint="cs"/>
          <w:rtl/>
        </w:rPr>
        <w:t xml:space="preserve"> זכאית להאריך את תקופת הלידה וההורות בשלושה שבועות עבור כל ילד נוסף</w:t>
      </w:r>
      <w:r w:rsidR="00287003">
        <w:rPr>
          <w:rFonts w:hint="cs"/>
          <w:rtl/>
        </w:rPr>
        <w:t xml:space="preserve"> החל מהילד שני</w:t>
      </w:r>
      <w:r>
        <w:rPr>
          <w:rFonts w:hint="cs"/>
          <w:rtl/>
        </w:rPr>
        <w:t>.</w:t>
      </w:r>
    </w:p>
    <w:p w14:paraId="51ABE96F" w14:textId="77777777" w:rsidR="00AC728E" w:rsidRDefault="00AC728E" w:rsidP="00AC728E">
      <w:pPr>
        <w:pStyle w:val="Hesber"/>
        <w:rPr>
          <w:rtl/>
        </w:rPr>
      </w:pPr>
      <w:r>
        <w:rPr>
          <w:rFonts w:hint="cs"/>
          <w:rtl/>
        </w:rPr>
        <w:t>מדובר בהסדר לא מספק שאינו לוקח בחשבון את הקשיים הפיזיים והנפשיים האדירים והייחודיים הכרוכים בהבאת שני ילדים (או יותר) לעולם בבת אחת. ההסדר גם אינו לוקח בחשבון שעבור הורים רבים, התקופה הקריטית ביותר לטיפול בילדים ולתמיכה אחד בשני היא דווקא מיד לאחר הלידה, ולא בתום תקופת הלידה וההורות הבסיסית, 14 שבועות לאחר הלידה.</w:t>
      </w:r>
    </w:p>
    <w:p w14:paraId="4B2716D3" w14:textId="6B6E074B" w:rsidR="00AC728E" w:rsidRDefault="00AC728E" w:rsidP="00AC728E">
      <w:pPr>
        <w:pStyle w:val="Hesber"/>
        <w:rPr>
          <w:rtl/>
        </w:rPr>
      </w:pPr>
      <w:r>
        <w:rPr>
          <w:rFonts w:hint="cs"/>
          <w:rtl/>
        </w:rPr>
        <w:t xml:space="preserve">לפיכך, מוצע לשנות את ההסדר הקיים ולהעניק להורים אלה את האוטונומיה להחליט בהחלטה משותפת כיצד לנצל את שלושת השבועות הנוספים. הורים שירצו בכך, יוכלו לקבוע שבמקום  שהאם תנצל את שלושת השבועות הנוספים בתום התקופה (שבוע 14 עד שבוע 17) </w:t>
      </w:r>
      <w:r>
        <w:rPr>
          <w:rtl/>
        </w:rPr>
        <w:t>–</w:t>
      </w:r>
      <w:r>
        <w:rPr>
          <w:rFonts w:hint="cs"/>
          <w:rtl/>
        </w:rPr>
        <w:t xml:space="preserve"> האב ינצל את כל שלושת השבועות הנוספים, או את חלקם, כבר בתחילת </w:t>
      </w:r>
      <w:r w:rsidR="006B7342">
        <w:rPr>
          <w:rFonts w:hint="cs"/>
          <w:rtl/>
        </w:rPr>
        <w:t xml:space="preserve">תקופת </w:t>
      </w:r>
      <w:r>
        <w:rPr>
          <w:rFonts w:hint="cs"/>
          <w:rtl/>
        </w:rPr>
        <w:t>הלידה</w:t>
      </w:r>
      <w:r w:rsidR="006B7342">
        <w:rPr>
          <w:rFonts w:hint="cs"/>
          <w:rtl/>
        </w:rPr>
        <w:t xml:space="preserve"> וההורות</w:t>
      </w:r>
      <w:r>
        <w:rPr>
          <w:rFonts w:hint="cs"/>
          <w:rtl/>
        </w:rPr>
        <w:t xml:space="preserve"> או בכל שלב לאחריה. באופן הזה, האב והאם יוכלו לשהות ביחד במהלך תקופת הלידה וההורות ולהעניק האחד לשנייה את התמיכה הנדרשת </w:t>
      </w:r>
      <w:r>
        <w:rPr>
          <w:rFonts w:hint="cs"/>
          <w:rtl/>
        </w:rPr>
        <w:lastRenderedPageBreak/>
        <w:t>במסגרת הטיפול האינטנסיבי בזוג תאומים ויותר. אם ההורים יבחרו באפשרות הזאת, הדבר כמובן לא יבוא על חשבון זכויות אחרות המגיעות להם מכוח החוק.</w:t>
      </w:r>
    </w:p>
    <w:p w14:paraId="35A36BC7" w14:textId="14FC9B84" w:rsidR="00AC728E" w:rsidRDefault="00AC728E" w:rsidP="00A71B72">
      <w:pPr>
        <w:pStyle w:val="Hesber"/>
        <w:rPr>
          <w:rtl/>
        </w:rPr>
      </w:pPr>
      <w:r>
        <w:rPr>
          <w:rFonts w:hint="cs"/>
          <w:rtl/>
        </w:rPr>
        <w:t xml:space="preserve">יש לציין שלא מדובר בהצעת חוק </w:t>
      </w:r>
      <w:r w:rsidR="00A71B72">
        <w:rPr>
          <w:rFonts w:hint="cs"/>
          <w:rtl/>
        </w:rPr>
        <w:t>שעלות ביצועה גבוהה</w:t>
      </w:r>
      <w:r w:rsidR="00166CB2">
        <w:rPr>
          <w:rFonts w:hint="cs"/>
          <w:rtl/>
        </w:rPr>
        <w:t xml:space="preserve">, וזאת </w:t>
      </w:r>
      <w:r>
        <w:rPr>
          <w:rFonts w:hint="cs"/>
          <w:rtl/>
        </w:rPr>
        <w:t>משלושה טעמים עיקריים: ראשית, הצעת החוק תחול על היקף קטן (בערך 5%) מכלל הלידות. שנית, ההצעה אינה מבקשת להקצות זמן נוסף לתקופת הלידה וההורות, אלא לאפשר החלפה בין האב לאם</w:t>
      </w:r>
      <w:r w:rsidR="00A71B72">
        <w:rPr>
          <w:rFonts w:hint="cs"/>
          <w:rtl/>
        </w:rPr>
        <w:t xml:space="preserve">, </w:t>
      </w:r>
      <w:r>
        <w:rPr>
          <w:rFonts w:hint="cs"/>
          <w:rtl/>
        </w:rPr>
        <w:t>גם לעניין זכאותם לדמי לידה מהביטוח הלאומי עבור שלושת השבועות האמורים</w:t>
      </w:r>
      <w:r w:rsidR="00EF168B">
        <w:rPr>
          <w:rFonts w:hint="cs"/>
          <w:rtl/>
        </w:rPr>
        <w:t>.</w:t>
      </w:r>
      <w:r>
        <w:rPr>
          <w:rFonts w:hint="cs"/>
          <w:rtl/>
        </w:rPr>
        <w:t xml:space="preserve"> האב יקבל דמי לידה במקום האם אם הם יבחרו לממש את האפשרות המוצעת</w:t>
      </w:r>
      <w:r w:rsidR="00EF168B">
        <w:rPr>
          <w:rFonts w:hint="cs"/>
          <w:rtl/>
        </w:rPr>
        <w:t>, ללא עלות נוספת</w:t>
      </w:r>
      <w:r>
        <w:rPr>
          <w:rFonts w:hint="cs"/>
          <w:rtl/>
        </w:rPr>
        <w:t>. שלישית, יש להניח שלא כל הזוגות יבחרו לממש את האפשרות המוצעת ויהיו כאלה שיעדיפו את האפשרות "המסורתית" שבה האם זכאית לשלושה שבועות נוספים.</w:t>
      </w:r>
    </w:p>
    <w:p w14:paraId="7F6961CB" w14:textId="73DFB565" w:rsidR="00E13C27" w:rsidRDefault="00AC728E" w:rsidP="00AC728E">
      <w:pPr>
        <w:pStyle w:val="Hesber"/>
        <w:rPr>
          <w:rtl/>
        </w:rPr>
      </w:pPr>
      <w:r>
        <w:rPr>
          <w:rFonts w:hint="cs"/>
          <w:rtl/>
        </w:rPr>
        <w:t>יש עוד כברת דרך ארוכה להשגת שוויון מגדרי בהורות ובשוק העבודה. הצעה זאת אינה בגדר שינוי סדרי עולם ואינה מתיימרת לבשר על מהפיכה תפיסתית כזאת. מדובר בשינוי נקודתי ומידתי, המשתלב היטב בשורה של תיקונים שכבר נעשו בחוק, המקרבים אותנו עוד יותר לחברה שבה אבות ואמהות חולקים בנטל ההורות והפרנסה מתוך אוטונומיה מקסימלית ולא כהבנייה חברתית הנכפית עליהם בניגוד לרצונם.</w:t>
      </w:r>
    </w:p>
    <w:p w14:paraId="5232427B" w14:textId="058A4912" w:rsidR="002A1320" w:rsidRDefault="002A1320" w:rsidP="00AC728E">
      <w:pPr>
        <w:pStyle w:val="Hesber"/>
        <w:rPr>
          <w:rtl/>
        </w:rPr>
      </w:pPr>
    </w:p>
    <w:p w14:paraId="678F750C" w14:textId="77777777" w:rsidR="002A1320" w:rsidRDefault="002A1320" w:rsidP="00AC728E">
      <w:pPr>
        <w:pStyle w:val="Hesber"/>
        <w:rPr>
          <w:rtl/>
        </w:rPr>
      </w:pPr>
      <w:bookmarkStart w:id="8" w:name="_GoBack"/>
    </w:p>
    <w:bookmarkEnd w:id="8"/>
    <w:p w14:paraId="2A5FC777" w14:textId="77777777" w:rsidR="002A1320" w:rsidRPr="00D73212" w:rsidRDefault="002A1320" w:rsidP="002A1320">
      <w:pPr>
        <w:pStyle w:val="Hesber"/>
        <w:rPr>
          <w:color w:val="auto"/>
          <w:rtl/>
          <w:lang w:eastAsia="en-US"/>
        </w:rPr>
      </w:pPr>
      <w:r w:rsidRPr="00D73212">
        <w:rPr>
          <w:color w:val="auto"/>
          <w:rtl/>
          <w:lang w:eastAsia="en-US"/>
        </w:rPr>
        <w:t>---------------------------------</w:t>
      </w:r>
    </w:p>
    <w:p w14:paraId="3773EE88" w14:textId="77777777" w:rsidR="002A1320" w:rsidRPr="00D73212" w:rsidRDefault="002A1320" w:rsidP="002A1320">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592AA20" w14:textId="77777777" w:rsidR="002A1320" w:rsidRPr="00D73212" w:rsidRDefault="002A1320" w:rsidP="002A1320">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16957BD9" w14:textId="77777777" w:rsidR="002A1320" w:rsidRPr="00317312" w:rsidRDefault="002A1320" w:rsidP="002A1320">
      <w:pPr>
        <w:pStyle w:val="Hesber"/>
      </w:pPr>
      <w:r>
        <w:rPr>
          <w:rFonts w:hint="cs"/>
          <w:color w:val="auto"/>
          <w:rtl/>
          <w:lang w:eastAsia="en-US"/>
        </w:rPr>
        <w:t>כ' בחשוון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21.11</w:t>
      </w:r>
      <w:r w:rsidRPr="00D73212">
        <w:rPr>
          <w:color w:val="auto"/>
          <w:rtl/>
          <w:lang w:eastAsia="en-US"/>
        </w:rPr>
        <w:t>.1</w:t>
      </w:r>
      <w:r>
        <w:rPr>
          <w:rFonts w:hint="cs"/>
          <w:color w:val="auto"/>
          <w:rtl/>
          <w:lang w:eastAsia="en-US"/>
        </w:rPr>
        <w:t>6</w:t>
      </w:r>
    </w:p>
    <w:p w14:paraId="37C0171F" w14:textId="77777777" w:rsidR="002A1320" w:rsidRDefault="002A1320" w:rsidP="00AC728E">
      <w:pPr>
        <w:pStyle w:val="Hesber"/>
        <w:rPr>
          <w:rtl/>
        </w:rPr>
      </w:pPr>
    </w:p>
    <w:sectPr w:rsidR="002A1320" w:rsidSect="002A1320">
      <w:footerReference w:type="even" r:id="rId11"/>
      <w:footerReference w:type="default" r:id="rId12"/>
      <w:pgSz w:w="11907" w:h="16840" w:code="9"/>
      <w:pgMar w:top="426" w:right="1134" w:bottom="851"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A1320">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A109E10" w14:textId="77777777" w:rsidR="00AC728E" w:rsidRDefault="00AC728E" w:rsidP="00AC728E">
      <w:pPr>
        <w:pStyle w:val="a4"/>
      </w:pPr>
      <w:r>
        <w:rPr>
          <w:rStyle w:val="a6"/>
        </w:rPr>
        <w:footnoteRef/>
      </w:r>
      <w:r>
        <w:rPr>
          <w:sz w:val="20"/>
          <w:rtl/>
        </w:rPr>
        <w:t xml:space="preserve"> ס"ח התשי"ד, עמ' 154.</w:t>
      </w:r>
    </w:p>
  </w:footnote>
  <w:footnote w:id="3">
    <w:p w14:paraId="55E3C923" w14:textId="77777777" w:rsidR="000D3ACD" w:rsidRDefault="000D3ACD" w:rsidP="00AC728E">
      <w:pPr>
        <w:pStyle w:val="a4"/>
      </w:pPr>
      <w:r>
        <w:rPr>
          <w:rStyle w:val="a6"/>
        </w:rPr>
        <w:footnoteRef/>
      </w:r>
      <w:r>
        <w:rPr>
          <w:sz w:val="20"/>
          <w:rtl/>
        </w:rPr>
        <w:t xml:space="preserve"> ס"ח התשנ"ה, עמ'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50714"/>
    <w:rsid w:val="00063A3E"/>
    <w:rsid w:val="00072CAC"/>
    <w:rsid w:val="0007681A"/>
    <w:rsid w:val="000A542E"/>
    <w:rsid w:val="000C52E9"/>
    <w:rsid w:val="000D3ACD"/>
    <w:rsid w:val="00102B6B"/>
    <w:rsid w:val="001052D4"/>
    <w:rsid w:val="0010644B"/>
    <w:rsid w:val="001207F8"/>
    <w:rsid w:val="00121924"/>
    <w:rsid w:val="001279A8"/>
    <w:rsid w:val="0014195F"/>
    <w:rsid w:val="00152609"/>
    <w:rsid w:val="00153E1B"/>
    <w:rsid w:val="00166CB2"/>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7003"/>
    <w:rsid w:val="00292712"/>
    <w:rsid w:val="002A1320"/>
    <w:rsid w:val="002A487D"/>
    <w:rsid w:val="002B783C"/>
    <w:rsid w:val="002C2E29"/>
    <w:rsid w:val="002C3041"/>
    <w:rsid w:val="002D1EE3"/>
    <w:rsid w:val="002F1D80"/>
    <w:rsid w:val="003232A2"/>
    <w:rsid w:val="00325C14"/>
    <w:rsid w:val="00361D7F"/>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83CCA"/>
    <w:rsid w:val="005B064E"/>
    <w:rsid w:val="005D51AE"/>
    <w:rsid w:val="0062674B"/>
    <w:rsid w:val="006363B2"/>
    <w:rsid w:val="00644940"/>
    <w:rsid w:val="006614E4"/>
    <w:rsid w:val="006818A9"/>
    <w:rsid w:val="006A2D81"/>
    <w:rsid w:val="006B7342"/>
    <w:rsid w:val="006C1D0D"/>
    <w:rsid w:val="006D1EDD"/>
    <w:rsid w:val="0070601E"/>
    <w:rsid w:val="00712C72"/>
    <w:rsid w:val="00735FE9"/>
    <w:rsid w:val="00763CAA"/>
    <w:rsid w:val="00765F66"/>
    <w:rsid w:val="0078664F"/>
    <w:rsid w:val="007C0D05"/>
    <w:rsid w:val="007C3FA6"/>
    <w:rsid w:val="007D585A"/>
    <w:rsid w:val="007D5A12"/>
    <w:rsid w:val="007E59F9"/>
    <w:rsid w:val="00803B35"/>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D7DDA"/>
    <w:rsid w:val="009E1E33"/>
    <w:rsid w:val="00A14672"/>
    <w:rsid w:val="00A26BD6"/>
    <w:rsid w:val="00A443CF"/>
    <w:rsid w:val="00A6611D"/>
    <w:rsid w:val="00A71B72"/>
    <w:rsid w:val="00A82CB7"/>
    <w:rsid w:val="00A942C1"/>
    <w:rsid w:val="00AA2F03"/>
    <w:rsid w:val="00AC36F7"/>
    <w:rsid w:val="00AC63A4"/>
    <w:rsid w:val="00AC728E"/>
    <w:rsid w:val="00AD239E"/>
    <w:rsid w:val="00B10265"/>
    <w:rsid w:val="00B16A99"/>
    <w:rsid w:val="00B21211"/>
    <w:rsid w:val="00B35784"/>
    <w:rsid w:val="00B733A7"/>
    <w:rsid w:val="00B75C91"/>
    <w:rsid w:val="00B975AD"/>
    <w:rsid w:val="00BC45FB"/>
    <w:rsid w:val="00BF148D"/>
    <w:rsid w:val="00C23B1A"/>
    <w:rsid w:val="00C310EB"/>
    <w:rsid w:val="00C34BFF"/>
    <w:rsid w:val="00C8715D"/>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468"/>
    <w:rsid w:val="00E62778"/>
    <w:rsid w:val="00E63D38"/>
    <w:rsid w:val="00E665B9"/>
    <w:rsid w:val="00EA01E6"/>
    <w:rsid w:val="00EA3DE8"/>
    <w:rsid w:val="00EA758F"/>
    <w:rsid w:val="00EC7E66"/>
    <w:rsid w:val="00ED4A6F"/>
    <w:rsid w:val="00EF168B"/>
    <w:rsid w:val="00EF3A3A"/>
    <w:rsid w:val="00F24366"/>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C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0D3A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0D3ACD"/>
    <w:rPr>
      <w:sz w:val="36"/>
      <w:szCs w:val="52"/>
    </w:rPr>
  </w:style>
  <w:style w:type="paragraph" w:customStyle="1" w:styleId="Cover3-Haknesset">
    <w:name w:val="Cover 3-Haknesset"/>
    <w:basedOn w:val="Cover1-Reshumot"/>
    <w:rsid w:val="000D3ACD"/>
    <w:rPr>
      <w:b/>
      <w:bCs/>
      <w:spacing w:val="60"/>
    </w:rPr>
  </w:style>
  <w:style w:type="paragraph" w:customStyle="1" w:styleId="Cover4-Date">
    <w:name w:val="Cover 4-Date"/>
    <w:basedOn w:val="a"/>
    <w:rsid w:val="000D3A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0D3AC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0D3AC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0D3ACD"/>
    <w:pPr>
      <w:spacing w:before="120" w:after="120"/>
    </w:pPr>
    <w:rPr>
      <w:color w:val="FF0000"/>
      <w:w w:val="80"/>
    </w:rPr>
  </w:style>
  <w:style w:type="paragraph" w:styleId="a3">
    <w:name w:val="endnote text"/>
    <w:basedOn w:val="a"/>
    <w:semiHidden/>
    <w:rsid w:val="000D3ACD"/>
    <w:pPr>
      <w:ind w:left="227" w:hanging="227"/>
    </w:pPr>
    <w:rPr>
      <w:sz w:val="14"/>
      <w:szCs w:val="22"/>
    </w:rPr>
  </w:style>
  <w:style w:type="paragraph" w:customStyle="1" w:styleId="TableText">
    <w:name w:val="Table Text"/>
    <w:basedOn w:val="a"/>
    <w:rsid w:val="000D3AC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0D3ACD"/>
  </w:style>
  <w:style w:type="paragraph" w:customStyle="1" w:styleId="TableBlock">
    <w:name w:val="Table Block"/>
    <w:basedOn w:val="TableText"/>
    <w:rsid w:val="000D3ACD"/>
    <w:pPr>
      <w:ind w:right="0"/>
      <w:jc w:val="both"/>
    </w:pPr>
  </w:style>
  <w:style w:type="paragraph" w:customStyle="1" w:styleId="TableHead">
    <w:name w:val="Table Head"/>
    <w:basedOn w:val="TableText"/>
    <w:rsid w:val="000D3AC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0D3ACD"/>
  </w:style>
  <w:style w:type="paragraph" w:customStyle="1" w:styleId="Hesber">
    <w:name w:val="Hesber"/>
    <w:basedOn w:val="a"/>
    <w:rsid w:val="000D3AC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0D3AC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0D3ACD"/>
    <w:rPr>
      <w:vertAlign w:val="superscript"/>
    </w:rPr>
  </w:style>
  <w:style w:type="paragraph" w:customStyle="1" w:styleId="HesberHeading">
    <w:name w:val="Hesber Heading"/>
    <w:basedOn w:val="Hesber"/>
    <w:rsid w:val="000D3ACD"/>
    <w:pPr>
      <w:tabs>
        <w:tab w:val="left" w:pos="624"/>
        <w:tab w:val="left" w:pos="1247"/>
      </w:tabs>
      <w:ind w:firstLine="0"/>
    </w:pPr>
    <w:rPr>
      <w:b/>
      <w:bCs/>
    </w:rPr>
  </w:style>
  <w:style w:type="paragraph" w:customStyle="1" w:styleId="HesberWriters">
    <w:name w:val="Hesber Writers"/>
    <w:basedOn w:val="Hesber"/>
    <w:rsid w:val="000D3ACD"/>
    <w:pPr>
      <w:spacing w:before="120" w:after="6000"/>
      <w:ind w:left="1418" w:firstLine="0"/>
      <w:jc w:val="right"/>
    </w:pPr>
    <w:rPr>
      <w:b/>
      <w:bCs/>
    </w:rPr>
  </w:style>
  <w:style w:type="paragraph" w:customStyle="1" w:styleId="Hesber1st">
    <w:name w:val="Hesber 1st"/>
    <w:basedOn w:val="Hesber"/>
    <w:rsid w:val="000D3ACD"/>
    <w:pPr>
      <w:tabs>
        <w:tab w:val="left" w:pos="680"/>
        <w:tab w:val="left" w:pos="1020"/>
      </w:tabs>
      <w:ind w:firstLine="0"/>
    </w:pPr>
  </w:style>
  <w:style w:type="character" w:styleId="a7">
    <w:name w:val="endnote reference"/>
    <w:basedOn w:val="a0"/>
    <w:semiHidden/>
    <w:rsid w:val="000D3ACD"/>
    <w:rPr>
      <w:vertAlign w:val="superscript"/>
    </w:rPr>
  </w:style>
  <w:style w:type="paragraph" w:customStyle="1" w:styleId="TableBlockOutdent">
    <w:name w:val="Table BlockOutdent"/>
    <w:basedOn w:val="TableBlock"/>
    <w:rsid w:val="000D3ACD"/>
    <w:pPr>
      <w:ind w:left="624" w:hanging="624"/>
    </w:pPr>
  </w:style>
  <w:style w:type="paragraph" w:styleId="a8">
    <w:name w:val="header"/>
    <w:basedOn w:val="a"/>
    <w:rsid w:val="000D3ACD"/>
    <w:pPr>
      <w:tabs>
        <w:tab w:val="center" w:pos="4153"/>
        <w:tab w:val="right" w:pos="8306"/>
      </w:tabs>
    </w:pPr>
  </w:style>
  <w:style w:type="paragraph" w:styleId="a9">
    <w:name w:val="footer"/>
    <w:basedOn w:val="a"/>
    <w:rsid w:val="000D3ACD"/>
    <w:pPr>
      <w:tabs>
        <w:tab w:val="center" w:pos="4153"/>
        <w:tab w:val="right" w:pos="8306"/>
      </w:tabs>
    </w:pPr>
  </w:style>
  <w:style w:type="paragraph" w:customStyle="1" w:styleId="HeadDivreiHesber">
    <w:name w:val="Head DivreiHesber"/>
    <w:basedOn w:val="a"/>
    <w:rsid w:val="000D3A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0D3AC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0D3AC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rsid w:val="00AC728E"/>
    <w:rPr>
      <w:rFonts w:ascii="Arial" w:eastAsia="Arial Unicode MS" w:hAnsi="Arial" w:cs="David"/>
      <w:snapToGrid w:val="0"/>
      <w:color w:val="000000"/>
      <w:sz w:val="14"/>
      <w:lang w:eastAsia="ja-JP"/>
    </w:rPr>
  </w:style>
  <w:style w:type="character" w:customStyle="1" w:styleId="default">
    <w:name w:val="default"/>
    <w:basedOn w:val="a0"/>
    <w:rsid w:val="00AC728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DCCB-A71F-4ED3-AF50-C08A0174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F3A915A-BA58-4519-A661-743C4CAB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751</Words>
  <Characters>3760</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23</cp:revision>
  <cp:lastPrinted>2016-11-16T10:34:00Z</cp:lastPrinted>
  <dcterms:created xsi:type="dcterms:W3CDTF">2015-04-20T09:58:00Z</dcterms:created>
  <dcterms:modified xsi:type="dcterms:W3CDTF">2016-11-16T10:34:00Z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2008065</vt:r8>
  </property>
</Properties>
</file>