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567171</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יוזמת:</w:t>
      </w:r>
      <w:r>
        <w:tab/>
      </w:r>
      <w:r>
        <w:rPr>
          <w:b/>
          <w:bCs/>
          <w:rtl/>
        </w:rPr>
        <w:t xml:space="preserve">      חברת הכנסת</w:t>
      </w:r>
      <w:bookmarkEnd w:id="2"/>
      <w:r w:rsidR="00B35784" w:rsidRPr="00F67051">
        <w:rPr>
          <w:b/>
          <w:bCs/>
        </w:rPr>
        <w:tab/>
      </w:r>
      <w:bookmarkStart w:id="3" w:name="LGS_PM_Names"/>
      <w:r>
        <w:rPr>
          <w:rFonts w:hint="cs"/>
          <w:b/>
          <w:bCs/>
          <w:rtl/>
        </w:rPr>
        <w:t>מירב בן ארי</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פ/3481/20</w:t>
      </w:r>
      <w:bookmarkEnd w:id="6"/>
    </w:p>
    <w:p w14:paraId="7F6961AC" w14:textId="77777777" w:rsidR="00E13C27" w:rsidRDefault="00E13C27" w:rsidP="00E13C27">
      <w:pPr>
        <w:spacing w:before="0" w:line="360" w:lineRule="auto"/>
        <w:ind w:left="2880" w:firstLine="720"/>
        <w:rPr>
          <w:rFonts w:cs="David"/>
          <w:sz w:val="26"/>
          <w:szCs w:val="26"/>
          <w:rtl/>
        </w:rPr>
      </w:pPr>
    </w:p>
    <w:p w14:paraId="7F6961AD" w14:textId="77777777" w:rsidR="00E13C27" w:rsidRDefault="00A443CF" w:rsidP="0021633A">
      <w:pPr>
        <w:pStyle w:val="HeadHatzaotHok"/>
        <w:rPr>
          <w:rtl/>
        </w:rPr>
      </w:pPr>
      <w:bookmarkStart w:id="7" w:name="LGS_Subject"/>
      <w:r>
        <w:rPr>
          <w:rFonts w:hint="cs"/>
          <w:rtl/>
        </w:rPr>
        <w:t>הצעת חוק רישוי עסקים (תיקון – תפוסה מרבית במקומות בילוי ציבוריים), התשע"ז–2016</w:t>
      </w:r>
      <w:bookmarkEnd w:id="7"/>
    </w:p>
    <w:p w14:paraId="298CD0F4" w14:textId="77777777" w:rsidR="00CE33B0" w:rsidRPr="00F67051" w:rsidRDefault="00CE33B0" w:rsidP="0021633A">
      <w:pPr>
        <w:pStyle w:val="HeadHatzaotHok"/>
        <w:rPr>
          <w:rtl/>
        </w:rPr>
      </w:pP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624"/>
        <w:gridCol w:w="4647"/>
      </w:tblGrid>
      <w:tr w:rsidR="00CE33B0" w:rsidRPr="00BD6DB3" w14:paraId="251B5D16" w14:textId="77777777" w:rsidTr="00B2027C">
        <w:trPr>
          <w:cantSplit/>
        </w:trPr>
        <w:tc>
          <w:tcPr>
            <w:tcW w:w="1871" w:type="dxa"/>
          </w:tcPr>
          <w:p w14:paraId="41F3048E" w14:textId="77777777" w:rsidR="00CE33B0" w:rsidRDefault="00CE33B0" w:rsidP="00B2027C">
            <w:pPr>
              <w:pStyle w:val="TableSideHeading"/>
              <w:keepLines w:val="0"/>
            </w:pPr>
            <w:r>
              <w:rPr>
                <w:rFonts w:hint="cs"/>
                <w:rtl/>
              </w:rPr>
              <w:t>הוספת סעיף 2ט</w:t>
            </w:r>
          </w:p>
        </w:tc>
        <w:tc>
          <w:tcPr>
            <w:tcW w:w="624" w:type="dxa"/>
          </w:tcPr>
          <w:p w14:paraId="23029D38" w14:textId="77777777" w:rsidR="00CE33B0" w:rsidRDefault="00CE33B0" w:rsidP="00B2027C">
            <w:pPr>
              <w:pStyle w:val="TableText"/>
              <w:keepLines w:val="0"/>
            </w:pPr>
            <w:r>
              <w:rPr>
                <w:rFonts w:hint="cs"/>
                <w:rtl/>
              </w:rPr>
              <w:t>1.</w:t>
            </w:r>
          </w:p>
        </w:tc>
        <w:tc>
          <w:tcPr>
            <w:tcW w:w="7143" w:type="dxa"/>
            <w:gridSpan w:val="5"/>
          </w:tcPr>
          <w:p w14:paraId="36563AD2" w14:textId="77777777" w:rsidR="00CE33B0" w:rsidRPr="00BD6DB3" w:rsidRDefault="00CE33B0" w:rsidP="00B2027C">
            <w:pPr>
              <w:pStyle w:val="TableBlock"/>
            </w:pPr>
            <w:r w:rsidRPr="00BD6DB3">
              <w:rPr>
                <w:rFonts w:hint="cs"/>
                <w:rtl/>
              </w:rPr>
              <w:t>בחוק רישוי עסקים, התשכ"ח</w:t>
            </w:r>
            <w:r w:rsidRPr="00BD6DB3">
              <w:rPr>
                <w:rFonts w:hint="eastAsia"/>
                <w:rtl/>
              </w:rPr>
              <w:t>–</w:t>
            </w:r>
            <w:r w:rsidRPr="00BD6DB3">
              <w:rPr>
                <w:rFonts w:hint="cs"/>
                <w:rtl/>
              </w:rPr>
              <w:t>1968</w:t>
            </w:r>
            <w:r w:rsidRPr="00BD6DB3">
              <w:rPr>
                <w:szCs w:val="20"/>
                <w:rtl/>
              </w:rPr>
              <w:footnoteReference w:id="2"/>
            </w:r>
            <w:r>
              <w:rPr>
                <w:rFonts w:hint="cs"/>
                <w:rtl/>
              </w:rPr>
              <w:t xml:space="preserve"> (להלן </w:t>
            </w:r>
            <w:r>
              <w:rPr>
                <w:rtl/>
              </w:rPr>
              <w:t>–</w:t>
            </w:r>
            <w:r>
              <w:rPr>
                <w:rFonts w:hint="cs"/>
                <w:rtl/>
              </w:rPr>
              <w:t xml:space="preserve"> החוק העיקרי)</w:t>
            </w:r>
            <w:r w:rsidRPr="00BD6DB3">
              <w:rPr>
                <w:rFonts w:hint="cs"/>
                <w:rtl/>
              </w:rPr>
              <w:t>, אחרי סעיף 2ח יבוא:</w:t>
            </w:r>
          </w:p>
        </w:tc>
      </w:tr>
      <w:tr w:rsidR="00CE33B0" w14:paraId="2C6110F3" w14:textId="77777777" w:rsidTr="00B2027C">
        <w:trPr>
          <w:cantSplit/>
        </w:trPr>
        <w:tc>
          <w:tcPr>
            <w:tcW w:w="1871" w:type="dxa"/>
          </w:tcPr>
          <w:p w14:paraId="25CEE3D2" w14:textId="77777777" w:rsidR="00CE33B0" w:rsidRDefault="00CE33B0" w:rsidP="00B2027C">
            <w:pPr>
              <w:pStyle w:val="TableSideHeading"/>
              <w:keepLines w:val="0"/>
            </w:pPr>
          </w:p>
        </w:tc>
        <w:tc>
          <w:tcPr>
            <w:tcW w:w="624" w:type="dxa"/>
          </w:tcPr>
          <w:p w14:paraId="0D06A611" w14:textId="77777777" w:rsidR="00CE33B0" w:rsidRDefault="00CE33B0" w:rsidP="00B2027C">
            <w:pPr>
              <w:pStyle w:val="TableText"/>
              <w:keepLines w:val="0"/>
            </w:pPr>
          </w:p>
        </w:tc>
        <w:tc>
          <w:tcPr>
            <w:tcW w:w="1872" w:type="dxa"/>
            <w:gridSpan w:val="3"/>
          </w:tcPr>
          <w:p w14:paraId="531D852F" w14:textId="77777777" w:rsidR="00CE33B0" w:rsidRDefault="00CE33B0" w:rsidP="00B2027C">
            <w:pPr>
              <w:pStyle w:val="TableInnerSideHeading"/>
            </w:pPr>
            <w:r>
              <w:rPr>
                <w:rFonts w:hint="cs"/>
                <w:rtl/>
              </w:rPr>
              <w:t>"תפוסה מרבית במקומות בילוי ציבוריים</w:t>
            </w:r>
          </w:p>
        </w:tc>
        <w:tc>
          <w:tcPr>
            <w:tcW w:w="624" w:type="dxa"/>
          </w:tcPr>
          <w:p w14:paraId="2E8B3FF4" w14:textId="77777777" w:rsidR="00CE33B0" w:rsidRDefault="00CE33B0" w:rsidP="00B2027C">
            <w:pPr>
              <w:pStyle w:val="TableText"/>
            </w:pPr>
            <w:r>
              <w:rPr>
                <w:rFonts w:hint="cs"/>
                <w:rtl/>
              </w:rPr>
              <w:t>2ט.</w:t>
            </w:r>
          </w:p>
        </w:tc>
        <w:tc>
          <w:tcPr>
            <w:tcW w:w="4647" w:type="dxa"/>
          </w:tcPr>
          <w:p w14:paraId="2F21525A" w14:textId="77777777" w:rsidR="00CE33B0" w:rsidRDefault="00CE33B0" w:rsidP="00B2027C">
            <w:pPr>
              <w:pStyle w:val="TableBlock"/>
            </w:pPr>
            <w:r>
              <w:rPr>
                <w:rFonts w:hint="cs"/>
                <w:rtl/>
              </w:rPr>
              <w:t>(א)</w:t>
            </w:r>
            <w:r>
              <w:rPr>
                <w:rtl/>
              </w:rPr>
              <w:tab/>
            </w:r>
            <w:r>
              <w:rPr>
                <w:rFonts w:hint="cs"/>
                <w:rtl/>
              </w:rPr>
              <w:t xml:space="preserve">בסעיף זה </w:t>
            </w:r>
            <w:r>
              <w:rPr>
                <w:rtl/>
              </w:rPr>
              <w:t>–</w:t>
            </w:r>
            <w:r>
              <w:rPr>
                <w:rFonts w:hint="cs"/>
                <w:rtl/>
              </w:rPr>
              <w:t xml:space="preserve"> </w:t>
            </w:r>
          </w:p>
        </w:tc>
      </w:tr>
      <w:tr w:rsidR="00CE33B0" w:rsidRPr="00BD6DB3" w14:paraId="65BA1CA2" w14:textId="77777777" w:rsidTr="00B2027C">
        <w:trPr>
          <w:cantSplit/>
        </w:trPr>
        <w:tc>
          <w:tcPr>
            <w:tcW w:w="1871" w:type="dxa"/>
          </w:tcPr>
          <w:p w14:paraId="22D41458" w14:textId="77777777" w:rsidR="00CE33B0" w:rsidRDefault="00CE33B0" w:rsidP="00B2027C">
            <w:pPr>
              <w:pStyle w:val="TableSideHeading"/>
            </w:pPr>
          </w:p>
        </w:tc>
        <w:tc>
          <w:tcPr>
            <w:tcW w:w="624" w:type="dxa"/>
          </w:tcPr>
          <w:p w14:paraId="3D1D342F" w14:textId="77777777" w:rsidR="00CE33B0" w:rsidRDefault="00CE33B0" w:rsidP="00B2027C">
            <w:pPr>
              <w:pStyle w:val="TableText"/>
            </w:pPr>
          </w:p>
        </w:tc>
        <w:tc>
          <w:tcPr>
            <w:tcW w:w="624" w:type="dxa"/>
          </w:tcPr>
          <w:p w14:paraId="2467BC1A" w14:textId="77777777" w:rsidR="00CE33B0" w:rsidRDefault="00CE33B0" w:rsidP="00B2027C">
            <w:pPr>
              <w:pStyle w:val="TableText"/>
            </w:pPr>
          </w:p>
        </w:tc>
        <w:tc>
          <w:tcPr>
            <w:tcW w:w="624" w:type="dxa"/>
          </w:tcPr>
          <w:p w14:paraId="3AA800CC" w14:textId="77777777" w:rsidR="00CE33B0" w:rsidRDefault="00CE33B0" w:rsidP="00B2027C">
            <w:pPr>
              <w:pStyle w:val="TableText"/>
            </w:pPr>
          </w:p>
        </w:tc>
        <w:tc>
          <w:tcPr>
            <w:tcW w:w="624" w:type="dxa"/>
          </w:tcPr>
          <w:p w14:paraId="5A33534C" w14:textId="77777777" w:rsidR="00CE33B0" w:rsidRDefault="00CE33B0" w:rsidP="00B2027C">
            <w:pPr>
              <w:pStyle w:val="TableText"/>
            </w:pPr>
          </w:p>
        </w:tc>
        <w:tc>
          <w:tcPr>
            <w:tcW w:w="624" w:type="dxa"/>
          </w:tcPr>
          <w:p w14:paraId="7E0F657E" w14:textId="77777777" w:rsidR="00CE33B0" w:rsidRDefault="00CE33B0" w:rsidP="00B2027C">
            <w:pPr>
              <w:pStyle w:val="TableText"/>
            </w:pPr>
          </w:p>
        </w:tc>
        <w:tc>
          <w:tcPr>
            <w:tcW w:w="4647" w:type="dxa"/>
          </w:tcPr>
          <w:p w14:paraId="2FB59FA4" w14:textId="77777777" w:rsidR="00CE33B0" w:rsidRPr="00BD6DB3" w:rsidRDefault="00CE33B0" w:rsidP="00B2027C">
            <w:pPr>
              <w:pStyle w:val="TableBlockOutdent"/>
            </w:pPr>
            <w:r w:rsidRPr="00BD6DB3">
              <w:rPr>
                <w:rFonts w:hint="cs"/>
                <w:rtl/>
              </w:rPr>
              <w:t xml:space="preserve">"מבקר" </w:t>
            </w:r>
            <w:r w:rsidRPr="00BD6DB3">
              <w:rPr>
                <w:rtl/>
              </w:rPr>
              <w:t>–</w:t>
            </w:r>
            <w:r w:rsidRPr="00BD6DB3">
              <w:rPr>
                <w:rFonts w:hint="cs"/>
                <w:rtl/>
              </w:rPr>
              <w:t xml:space="preserve"> מי שאינו עובד במקום בילוי ציבורי;</w:t>
            </w:r>
          </w:p>
        </w:tc>
      </w:tr>
      <w:tr w:rsidR="00CE33B0" w:rsidRPr="00BD6DB3" w14:paraId="2B638518" w14:textId="77777777" w:rsidTr="00B2027C">
        <w:trPr>
          <w:cantSplit/>
        </w:trPr>
        <w:tc>
          <w:tcPr>
            <w:tcW w:w="1871" w:type="dxa"/>
          </w:tcPr>
          <w:p w14:paraId="2FE96CB0" w14:textId="77777777" w:rsidR="00CE33B0" w:rsidRDefault="00CE33B0" w:rsidP="00B2027C">
            <w:pPr>
              <w:pStyle w:val="TableSideHeading"/>
            </w:pPr>
          </w:p>
        </w:tc>
        <w:tc>
          <w:tcPr>
            <w:tcW w:w="624" w:type="dxa"/>
          </w:tcPr>
          <w:p w14:paraId="28FB5CC1" w14:textId="77777777" w:rsidR="00CE33B0" w:rsidRDefault="00CE33B0" w:rsidP="00B2027C">
            <w:pPr>
              <w:pStyle w:val="TableText"/>
            </w:pPr>
          </w:p>
        </w:tc>
        <w:tc>
          <w:tcPr>
            <w:tcW w:w="624" w:type="dxa"/>
          </w:tcPr>
          <w:p w14:paraId="4E221029" w14:textId="77777777" w:rsidR="00CE33B0" w:rsidRDefault="00CE33B0" w:rsidP="00B2027C">
            <w:pPr>
              <w:pStyle w:val="TableText"/>
            </w:pPr>
          </w:p>
        </w:tc>
        <w:tc>
          <w:tcPr>
            <w:tcW w:w="624" w:type="dxa"/>
          </w:tcPr>
          <w:p w14:paraId="0BD2C9A4" w14:textId="77777777" w:rsidR="00CE33B0" w:rsidRDefault="00CE33B0" w:rsidP="00B2027C">
            <w:pPr>
              <w:pStyle w:val="TableText"/>
            </w:pPr>
          </w:p>
        </w:tc>
        <w:tc>
          <w:tcPr>
            <w:tcW w:w="624" w:type="dxa"/>
          </w:tcPr>
          <w:p w14:paraId="308E5CC4" w14:textId="77777777" w:rsidR="00CE33B0" w:rsidRDefault="00CE33B0" w:rsidP="00B2027C">
            <w:pPr>
              <w:pStyle w:val="TableText"/>
            </w:pPr>
          </w:p>
        </w:tc>
        <w:tc>
          <w:tcPr>
            <w:tcW w:w="624" w:type="dxa"/>
          </w:tcPr>
          <w:p w14:paraId="608989EB" w14:textId="77777777" w:rsidR="00CE33B0" w:rsidRDefault="00CE33B0" w:rsidP="00B2027C">
            <w:pPr>
              <w:pStyle w:val="TableText"/>
            </w:pPr>
          </w:p>
        </w:tc>
        <w:tc>
          <w:tcPr>
            <w:tcW w:w="4647" w:type="dxa"/>
          </w:tcPr>
          <w:p w14:paraId="177CD77D" w14:textId="77777777" w:rsidR="00CE33B0" w:rsidRPr="00BD6DB3" w:rsidRDefault="00CE33B0" w:rsidP="00B2027C">
            <w:pPr>
              <w:pStyle w:val="TableBlockOutdent"/>
              <w:rPr>
                <w:rtl/>
              </w:rPr>
            </w:pPr>
            <w:r w:rsidRPr="00BD6DB3">
              <w:rPr>
                <w:rFonts w:hint="cs"/>
                <w:rtl/>
              </w:rPr>
              <w:t xml:space="preserve">"מקום בילוי ציבורי" </w:t>
            </w:r>
            <w:r w:rsidRPr="00BD6DB3">
              <w:rPr>
                <w:rtl/>
              </w:rPr>
              <w:t>–</w:t>
            </w:r>
            <w:r w:rsidRPr="00BD6DB3">
              <w:rPr>
                <w:rFonts w:hint="cs"/>
                <w:rtl/>
              </w:rPr>
              <w:t xml:space="preserve"> מקום המיועד לספק שירותי הסעדה, בילוי ופנאי, לרבות אולם שמחות, גן אירועים, מסעדה, עסק למכירת אלכוהול, דיסקוטק;</w:t>
            </w:r>
          </w:p>
        </w:tc>
      </w:tr>
      <w:tr w:rsidR="00CE33B0" w:rsidRPr="00BD6DB3" w14:paraId="09AD9121" w14:textId="77777777" w:rsidTr="00B2027C">
        <w:trPr>
          <w:cantSplit/>
        </w:trPr>
        <w:tc>
          <w:tcPr>
            <w:tcW w:w="1871" w:type="dxa"/>
          </w:tcPr>
          <w:p w14:paraId="23F5A36A" w14:textId="77777777" w:rsidR="00CE33B0" w:rsidRDefault="00CE33B0" w:rsidP="00B2027C">
            <w:pPr>
              <w:pStyle w:val="TableSideHeading"/>
            </w:pPr>
          </w:p>
        </w:tc>
        <w:tc>
          <w:tcPr>
            <w:tcW w:w="624" w:type="dxa"/>
          </w:tcPr>
          <w:p w14:paraId="218AEE1B" w14:textId="77777777" w:rsidR="00CE33B0" w:rsidRDefault="00CE33B0" w:rsidP="00B2027C">
            <w:pPr>
              <w:pStyle w:val="TableText"/>
            </w:pPr>
          </w:p>
        </w:tc>
        <w:tc>
          <w:tcPr>
            <w:tcW w:w="624" w:type="dxa"/>
          </w:tcPr>
          <w:p w14:paraId="69DD380E" w14:textId="77777777" w:rsidR="00CE33B0" w:rsidRDefault="00CE33B0" w:rsidP="00B2027C">
            <w:pPr>
              <w:pStyle w:val="TableText"/>
            </w:pPr>
          </w:p>
        </w:tc>
        <w:tc>
          <w:tcPr>
            <w:tcW w:w="624" w:type="dxa"/>
          </w:tcPr>
          <w:p w14:paraId="66BC5E67" w14:textId="77777777" w:rsidR="00CE33B0" w:rsidRDefault="00CE33B0" w:rsidP="00B2027C">
            <w:pPr>
              <w:pStyle w:val="TableText"/>
            </w:pPr>
          </w:p>
        </w:tc>
        <w:tc>
          <w:tcPr>
            <w:tcW w:w="624" w:type="dxa"/>
          </w:tcPr>
          <w:p w14:paraId="637E9625" w14:textId="77777777" w:rsidR="00CE33B0" w:rsidRDefault="00CE33B0" w:rsidP="00B2027C">
            <w:pPr>
              <w:pStyle w:val="TableText"/>
            </w:pPr>
          </w:p>
        </w:tc>
        <w:tc>
          <w:tcPr>
            <w:tcW w:w="624" w:type="dxa"/>
          </w:tcPr>
          <w:p w14:paraId="0A52E588" w14:textId="77777777" w:rsidR="00CE33B0" w:rsidRDefault="00CE33B0" w:rsidP="00B2027C">
            <w:pPr>
              <w:pStyle w:val="TableText"/>
            </w:pPr>
          </w:p>
        </w:tc>
        <w:tc>
          <w:tcPr>
            <w:tcW w:w="4647" w:type="dxa"/>
          </w:tcPr>
          <w:p w14:paraId="293C4EF3" w14:textId="77777777" w:rsidR="00CE33B0" w:rsidRPr="00BD6DB3" w:rsidRDefault="00CE33B0" w:rsidP="00B2027C">
            <w:pPr>
              <w:pStyle w:val="TableBlockOutdent"/>
              <w:rPr>
                <w:rtl/>
              </w:rPr>
            </w:pPr>
            <w:r w:rsidRPr="00BD6DB3">
              <w:rPr>
                <w:rFonts w:hint="cs"/>
                <w:rtl/>
              </w:rPr>
              <w:t xml:space="preserve">"שטח המקום המיועד לשימוש הציבור" </w:t>
            </w:r>
            <w:r w:rsidRPr="00BD6DB3">
              <w:rPr>
                <w:rtl/>
              </w:rPr>
              <w:t>–</w:t>
            </w:r>
            <w:r w:rsidRPr="00BD6DB3">
              <w:rPr>
                <w:rFonts w:hint="cs"/>
                <w:rtl/>
              </w:rPr>
              <w:t xml:space="preserve"> למעט אזורי שירות, ובכלל זה מטבח וחדרי שירותים.</w:t>
            </w:r>
          </w:p>
        </w:tc>
      </w:tr>
      <w:tr w:rsidR="00CE33B0" w14:paraId="4924498D" w14:textId="77777777" w:rsidTr="00B2027C">
        <w:trPr>
          <w:cantSplit/>
        </w:trPr>
        <w:tc>
          <w:tcPr>
            <w:tcW w:w="1871" w:type="dxa"/>
          </w:tcPr>
          <w:p w14:paraId="62A55216" w14:textId="77777777" w:rsidR="00CE33B0" w:rsidRDefault="00CE33B0" w:rsidP="00B2027C">
            <w:pPr>
              <w:pStyle w:val="TableSideHeading"/>
            </w:pPr>
          </w:p>
        </w:tc>
        <w:tc>
          <w:tcPr>
            <w:tcW w:w="624" w:type="dxa"/>
          </w:tcPr>
          <w:p w14:paraId="7B4B118C" w14:textId="77777777" w:rsidR="00CE33B0" w:rsidRDefault="00CE33B0" w:rsidP="00B2027C">
            <w:pPr>
              <w:pStyle w:val="TableText"/>
            </w:pPr>
          </w:p>
        </w:tc>
        <w:tc>
          <w:tcPr>
            <w:tcW w:w="624" w:type="dxa"/>
          </w:tcPr>
          <w:p w14:paraId="09ED15DC" w14:textId="77777777" w:rsidR="00CE33B0" w:rsidRDefault="00CE33B0" w:rsidP="00B2027C">
            <w:pPr>
              <w:pStyle w:val="TableText"/>
            </w:pPr>
          </w:p>
        </w:tc>
        <w:tc>
          <w:tcPr>
            <w:tcW w:w="624" w:type="dxa"/>
          </w:tcPr>
          <w:p w14:paraId="676C3EE9" w14:textId="77777777" w:rsidR="00CE33B0" w:rsidRDefault="00CE33B0" w:rsidP="00B2027C">
            <w:pPr>
              <w:pStyle w:val="TableText"/>
            </w:pPr>
          </w:p>
        </w:tc>
        <w:tc>
          <w:tcPr>
            <w:tcW w:w="624" w:type="dxa"/>
          </w:tcPr>
          <w:p w14:paraId="3EB64E01" w14:textId="77777777" w:rsidR="00CE33B0" w:rsidRDefault="00CE33B0" w:rsidP="00B2027C">
            <w:pPr>
              <w:pStyle w:val="TableText"/>
            </w:pPr>
          </w:p>
        </w:tc>
        <w:tc>
          <w:tcPr>
            <w:tcW w:w="624" w:type="dxa"/>
          </w:tcPr>
          <w:p w14:paraId="72DB62A3" w14:textId="77777777" w:rsidR="00CE33B0" w:rsidRDefault="00CE33B0" w:rsidP="00B2027C">
            <w:pPr>
              <w:pStyle w:val="TableText"/>
            </w:pPr>
          </w:p>
        </w:tc>
        <w:tc>
          <w:tcPr>
            <w:tcW w:w="4647" w:type="dxa"/>
          </w:tcPr>
          <w:p w14:paraId="65640518" w14:textId="77777777" w:rsidR="00CE33B0" w:rsidRDefault="00CE33B0" w:rsidP="00B2027C">
            <w:pPr>
              <w:pStyle w:val="TableBlock"/>
            </w:pPr>
            <w:r w:rsidRPr="00E86751">
              <w:rPr>
                <w:rFonts w:hint="cs"/>
                <w:rtl/>
              </w:rPr>
              <w:t>(ב)</w:t>
            </w:r>
            <w:r w:rsidRPr="00E86751">
              <w:rPr>
                <w:rtl/>
              </w:rPr>
              <w:tab/>
            </w:r>
            <w:r w:rsidRPr="00E86751">
              <w:rPr>
                <w:rFonts w:hint="cs"/>
                <w:rtl/>
              </w:rPr>
              <w:t xml:space="preserve"> מספר המבקרים המרבי הרשאים להיכנס ולהימצא במקום בילוי ציבורי (להלן </w:t>
            </w:r>
            <w:r w:rsidRPr="00E86751">
              <w:rPr>
                <w:rtl/>
              </w:rPr>
              <w:t>–</w:t>
            </w:r>
            <w:r w:rsidRPr="00E86751">
              <w:rPr>
                <w:rFonts w:hint="cs"/>
                <w:rtl/>
              </w:rPr>
              <w:t xml:space="preserve"> התפוסה המרבית) יצוין ברישיון או בהיתר הזמני ויהווה תנאי מתנאי הרישיון או ההיתר הזמני, לפי העניין.</w:t>
            </w:r>
          </w:p>
        </w:tc>
      </w:tr>
      <w:tr w:rsidR="00CE33B0" w:rsidRPr="00E86751" w14:paraId="7198B92E" w14:textId="77777777" w:rsidTr="00B2027C">
        <w:trPr>
          <w:cantSplit/>
        </w:trPr>
        <w:tc>
          <w:tcPr>
            <w:tcW w:w="1871" w:type="dxa"/>
          </w:tcPr>
          <w:p w14:paraId="10268C47" w14:textId="77777777" w:rsidR="00CE33B0" w:rsidRDefault="00CE33B0" w:rsidP="00B2027C">
            <w:pPr>
              <w:pStyle w:val="TableSideHeading"/>
            </w:pPr>
          </w:p>
        </w:tc>
        <w:tc>
          <w:tcPr>
            <w:tcW w:w="624" w:type="dxa"/>
          </w:tcPr>
          <w:p w14:paraId="31E04268" w14:textId="77777777" w:rsidR="00CE33B0" w:rsidRDefault="00CE33B0" w:rsidP="00B2027C">
            <w:pPr>
              <w:pStyle w:val="TableText"/>
            </w:pPr>
          </w:p>
        </w:tc>
        <w:tc>
          <w:tcPr>
            <w:tcW w:w="624" w:type="dxa"/>
          </w:tcPr>
          <w:p w14:paraId="0360559E" w14:textId="77777777" w:rsidR="00CE33B0" w:rsidRDefault="00CE33B0" w:rsidP="00B2027C">
            <w:pPr>
              <w:pStyle w:val="TableText"/>
            </w:pPr>
          </w:p>
        </w:tc>
        <w:tc>
          <w:tcPr>
            <w:tcW w:w="624" w:type="dxa"/>
          </w:tcPr>
          <w:p w14:paraId="21C14CF7" w14:textId="77777777" w:rsidR="00CE33B0" w:rsidRDefault="00CE33B0" w:rsidP="00B2027C">
            <w:pPr>
              <w:pStyle w:val="TableText"/>
            </w:pPr>
          </w:p>
        </w:tc>
        <w:tc>
          <w:tcPr>
            <w:tcW w:w="624" w:type="dxa"/>
          </w:tcPr>
          <w:p w14:paraId="0FB26CE9" w14:textId="77777777" w:rsidR="00CE33B0" w:rsidRDefault="00CE33B0" w:rsidP="00B2027C">
            <w:pPr>
              <w:pStyle w:val="TableText"/>
            </w:pPr>
          </w:p>
        </w:tc>
        <w:tc>
          <w:tcPr>
            <w:tcW w:w="624" w:type="dxa"/>
          </w:tcPr>
          <w:p w14:paraId="4B08DD91" w14:textId="77777777" w:rsidR="00CE33B0" w:rsidRDefault="00CE33B0" w:rsidP="00B2027C">
            <w:pPr>
              <w:pStyle w:val="TableText"/>
            </w:pPr>
          </w:p>
        </w:tc>
        <w:tc>
          <w:tcPr>
            <w:tcW w:w="4647" w:type="dxa"/>
          </w:tcPr>
          <w:p w14:paraId="2E28E2FC" w14:textId="3F15C647" w:rsidR="00CE33B0" w:rsidRPr="00E86751" w:rsidRDefault="00CE33B0" w:rsidP="00920515">
            <w:pPr>
              <w:pStyle w:val="TableBlock"/>
              <w:rPr>
                <w:rtl/>
              </w:rPr>
            </w:pPr>
            <w:r>
              <w:rPr>
                <w:rFonts w:hint="cs"/>
                <w:rtl/>
              </w:rPr>
              <w:t>(ג)</w:t>
            </w:r>
            <w:r>
              <w:rPr>
                <w:rtl/>
              </w:rPr>
              <w:tab/>
            </w:r>
            <w:r>
              <w:rPr>
                <w:rFonts w:hint="cs"/>
                <w:rtl/>
              </w:rPr>
              <w:t>התפוסה המרבית תקבע ברישיון או בהיתר זמני לפי חוק זה, כמספר המתקבל מהכפלת שטח המקום המועד לשימוש הציבור ב-0.7."</w:t>
            </w:r>
          </w:p>
        </w:tc>
      </w:tr>
      <w:tr w:rsidR="00CE33B0" w:rsidRPr="00C34DE2" w14:paraId="54BF0C61" w14:textId="77777777" w:rsidTr="00B2027C">
        <w:trPr>
          <w:cantSplit/>
        </w:trPr>
        <w:tc>
          <w:tcPr>
            <w:tcW w:w="1871" w:type="dxa"/>
          </w:tcPr>
          <w:p w14:paraId="0B051F89" w14:textId="77777777" w:rsidR="00CE33B0" w:rsidRDefault="00CE33B0" w:rsidP="00B2027C">
            <w:pPr>
              <w:pStyle w:val="TableSideHeading"/>
              <w:keepLines w:val="0"/>
            </w:pPr>
            <w:r>
              <w:rPr>
                <w:rFonts w:hint="cs"/>
                <w:rtl/>
              </w:rPr>
              <w:lastRenderedPageBreak/>
              <w:t>תיקון סעיף 14</w:t>
            </w:r>
          </w:p>
        </w:tc>
        <w:tc>
          <w:tcPr>
            <w:tcW w:w="624" w:type="dxa"/>
          </w:tcPr>
          <w:p w14:paraId="5E978DFB" w14:textId="77777777" w:rsidR="00CE33B0" w:rsidRDefault="00CE33B0" w:rsidP="00B2027C">
            <w:pPr>
              <w:pStyle w:val="TableText"/>
              <w:keepLines w:val="0"/>
            </w:pPr>
            <w:r>
              <w:rPr>
                <w:rFonts w:hint="cs"/>
                <w:rtl/>
              </w:rPr>
              <w:t>2.</w:t>
            </w:r>
          </w:p>
        </w:tc>
        <w:tc>
          <w:tcPr>
            <w:tcW w:w="7143" w:type="dxa"/>
            <w:gridSpan w:val="5"/>
          </w:tcPr>
          <w:p w14:paraId="772EAD66" w14:textId="77777777" w:rsidR="00CE33B0" w:rsidRPr="00C34DE2" w:rsidRDefault="00CE33B0" w:rsidP="00B2027C">
            <w:pPr>
              <w:pStyle w:val="TableBlock"/>
            </w:pPr>
            <w:r>
              <w:rPr>
                <w:rFonts w:hint="cs"/>
                <w:rtl/>
              </w:rPr>
              <w:t xml:space="preserve">בסעיף 14(א) לחוק העיקרי, אחרי "(בסעיף זה </w:t>
            </w:r>
            <w:r>
              <w:rPr>
                <w:rtl/>
              </w:rPr>
              <w:t>–</w:t>
            </w:r>
            <w:r>
              <w:rPr>
                <w:rFonts w:hint="cs"/>
                <w:rtl/>
              </w:rPr>
              <w:t xml:space="preserve"> חוק העונשין)" יבוא "או אם לא קיים תנאי כאמור בסעיף 2ט, דינו </w:t>
            </w:r>
            <w:r>
              <w:rPr>
                <w:rtl/>
              </w:rPr>
              <w:t>–</w:t>
            </w:r>
            <w:r>
              <w:rPr>
                <w:rFonts w:hint="cs"/>
                <w:rtl/>
              </w:rPr>
              <w:t xml:space="preserve"> הקנס הקבוע בסעיף 61(א)(2) לחוק העונשין".</w:t>
            </w:r>
          </w:p>
        </w:tc>
      </w:tr>
      <w:tr w:rsidR="00CE33B0" w14:paraId="443E7D09" w14:textId="77777777" w:rsidTr="00B2027C">
        <w:trPr>
          <w:cantSplit/>
        </w:trPr>
        <w:tc>
          <w:tcPr>
            <w:tcW w:w="1871" w:type="dxa"/>
          </w:tcPr>
          <w:p w14:paraId="404AB57D" w14:textId="77777777" w:rsidR="00CE33B0" w:rsidRDefault="00CE33B0" w:rsidP="00B2027C">
            <w:pPr>
              <w:pStyle w:val="TableSideHeading"/>
              <w:keepLines w:val="0"/>
              <w:rPr>
                <w:rtl/>
              </w:rPr>
            </w:pPr>
            <w:r>
              <w:rPr>
                <w:rFonts w:hint="cs"/>
                <w:rtl/>
              </w:rPr>
              <w:t>תיקון סעיף 16</w:t>
            </w:r>
          </w:p>
        </w:tc>
        <w:tc>
          <w:tcPr>
            <w:tcW w:w="624" w:type="dxa"/>
          </w:tcPr>
          <w:p w14:paraId="0D21447F" w14:textId="77777777" w:rsidR="00CE33B0" w:rsidRDefault="00CE33B0" w:rsidP="00B2027C">
            <w:pPr>
              <w:pStyle w:val="TableText"/>
              <w:rPr>
                <w:rtl/>
              </w:rPr>
            </w:pPr>
            <w:r>
              <w:rPr>
                <w:rFonts w:hint="cs"/>
                <w:rtl/>
              </w:rPr>
              <w:t>3.</w:t>
            </w:r>
          </w:p>
        </w:tc>
        <w:tc>
          <w:tcPr>
            <w:tcW w:w="7143" w:type="dxa"/>
            <w:gridSpan w:val="5"/>
          </w:tcPr>
          <w:p w14:paraId="504D6592" w14:textId="77777777" w:rsidR="00CE33B0" w:rsidRDefault="00CE33B0" w:rsidP="00B2027C">
            <w:pPr>
              <w:pStyle w:val="TableBlock"/>
              <w:rPr>
                <w:rtl/>
              </w:rPr>
            </w:pPr>
            <w:r>
              <w:rPr>
                <w:rFonts w:hint="cs"/>
                <w:rtl/>
              </w:rPr>
              <w:t>בסעיף 16 לחוק העיקרי, אחרי פסקה (3) יבוא:</w:t>
            </w:r>
          </w:p>
        </w:tc>
      </w:tr>
      <w:tr w:rsidR="00CE33B0" w14:paraId="67328FE3" w14:textId="77777777" w:rsidTr="00B2027C">
        <w:trPr>
          <w:cantSplit/>
        </w:trPr>
        <w:tc>
          <w:tcPr>
            <w:tcW w:w="1871" w:type="dxa"/>
          </w:tcPr>
          <w:p w14:paraId="2C4FAACC" w14:textId="77777777" w:rsidR="00CE33B0" w:rsidRDefault="00CE33B0" w:rsidP="00B2027C">
            <w:pPr>
              <w:pStyle w:val="TableSideHeading"/>
              <w:ind w:right="0"/>
            </w:pPr>
          </w:p>
        </w:tc>
        <w:tc>
          <w:tcPr>
            <w:tcW w:w="624" w:type="dxa"/>
          </w:tcPr>
          <w:p w14:paraId="07581680" w14:textId="77777777" w:rsidR="00CE33B0" w:rsidRDefault="00CE33B0" w:rsidP="00B2027C">
            <w:pPr>
              <w:pStyle w:val="TableText"/>
              <w:ind w:right="0"/>
              <w:jc w:val="both"/>
            </w:pPr>
          </w:p>
        </w:tc>
        <w:tc>
          <w:tcPr>
            <w:tcW w:w="7143" w:type="dxa"/>
            <w:gridSpan w:val="5"/>
          </w:tcPr>
          <w:p w14:paraId="5963DD6D" w14:textId="77777777" w:rsidR="00CE33B0" w:rsidRDefault="00CE33B0" w:rsidP="00B2027C">
            <w:pPr>
              <w:pStyle w:val="TableBlock"/>
            </w:pPr>
            <w:r>
              <w:rPr>
                <w:rFonts w:hint="cs"/>
                <w:rtl/>
              </w:rPr>
              <w:t>"(4)</w:t>
            </w:r>
            <w:r>
              <w:rPr>
                <w:rtl/>
              </w:rPr>
              <w:tab/>
            </w:r>
            <w:r>
              <w:rPr>
                <w:rFonts w:hint="cs"/>
                <w:rtl/>
              </w:rPr>
              <w:t>היתה הרשעה בעבירה שעניינה אי קיום הוראת סעיף 2ט, ובחמש השנים שקדמו למועד ביצוע העבירה כבר הורשע אותו אדם בעבירה כאמור, יצווה בית המשפט על הפסקת העיסוק בעסק לתקופה שאינה עולה על 30 ימים;</w:t>
            </w:r>
          </w:p>
        </w:tc>
      </w:tr>
      <w:tr w:rsidR="00CE33B0" w14:paraId="0FA504B6" w14:textId="77777777" w:rsidTr="00B2027C">
        <w:trPr>
          <w:cantSplit/>
        </w:trPr>
        <w:tc>
          <w:tcPr>
            <w:tcW w:w="1871" w:type="dxa"/>
          </w:tcPr>
          <w:p w14:paraId="19C6E9E2" w14:textId="77777777" w:rsidR="00CE33B0" w:rsidRDefault="00CE33B0" w:rsidP="00B2027C">
            <w:pPr>
              <w:pStyle w:val="TableSideHeading"/>
            </w:pPr>
          </w:p>
        </w:tc>
        <w:tc>
          <w:tcPr>
            <w:tcW w:w="624" w:type="dxa"/>
          </w:tcPr>
          <w:p w14:paraId="7F074496" w14:textId="77777777" w:rsidR="00CE33B0" w:rsidRDefault="00CE33B0" w:rsidP="00B2027C">
            <w:pPr>
              <w:pStyle w:val="TableText"/>
            </w:pPr>
          </w:p>
        </w:tc>
        <w:tc>
          <w:tcPr>
            <w:tcW w:w="7143" w:type="dxa"/>
            <w:gridSpan w:val="5"/>
          </w:tcPr>
          <w:p w14:paraId="54DF2541" w14:textId="77777777" w:rsidR="00CE33B0" w:rsidRDefault="00CE33B0" w:rsidP="00B2027C">
            <w:pPr>
              <w:pStyle w:val="TableBlock"/>
              <w:rPr>
                <w:rtl/>
              </w:rPr>
            </w:pPr>
            <w:r>
              <w:rPr>
                <w:rFonts w:hint="cs"/>
                <w:rtl/>
              </w:rPr>
              <w:t>(5)</w:t>
            </w:r>
            <w:r>
              <w:rPr>
                <w:rtl/>
              </w:rPr>
              <w:tab/>
            </w:r>
            <w:r>
              <w:rPr>
                <w:rFonts w:hint="cs"/>
                <w:rtl/>
              </w:rPr>
              <w:t>היתה הרשעה בעבירה שעניינה אי קיום הוראת סעיף 2ט, ובחמש השנים שקדמו למועד ביצוע העבירה הורשע ונקבע עונשו לפי פסקה (4), יצווה בית המשפט על הפסקת העיסוק בעסק לחלוטין."</w:t>
            </w:r>
          </w:p>
        </w:tc>
      </w:tr>
    </w:tbl>
    <w:p w14:paraId="7F6961CA" w14:textId="77777777" w:rsidR="002D1EE3" w:rsidRDefault="002D1EE3" w:rsidP="002D1EE3">
      <w:pPr>
        <w:pStyle w:val="HeadDivreiHesber"/>
        <w:rPr>
          <w:rtl/>
        </w:rPr>
      </w:pPr>
      <w:r w:rsidRPr="0027450A">
        <w:rPr>
          <w:rFonts w:hint="cs"/>
          <w:rtl/>
        </w:rPr>
        <w:t>דברי הסבר</w:t>
      </w:r>
    </w:p>
    <w:p w14:paraId="3A6A3868" w14:textId="6A97DC59" w:rsidR="005941F0" w:rsidRPr="00541BD1" w:rsidRDefault="005941F0" w:rsidP="00920515">
      <w:pPr>
        <w:pStyle w:val="Hesber"/>
        <w:rPr>
          <w:b/>
          <w:bCs/>
          <w:rtl/>
        </w:rPr>
      </w:pPr>
      <w:r w:rsidRPr="00541BD1">
        <w:rPr>
          <w:rFonts w:hint="eastAsia"/>
          <w:rtl/>
        </w:rPr>
        <w:t>חוק</w:t>
      </w:r>
      <w:r w:rsidRPr="00541BD1">
        <w:rPr>
          <w:rtl/>
        </w:rPr>
        <w:t xml:space="preserve"> רישוי עסקים מחייב כל אחד המעוניין לפתוח עסק, לעשות זאת ברישיון. עם הגשת בקשה לקבלת רישיון עסק, על מגיש הבקשה</w:t>
      </w:r>
      <w:r w:rsidR="00920515">
        <w:rPr>
          <w:rtl/>
        </w:rPr>
        <w:t xml:space="preserve"> לעמוד בתנאים הנדרשים בחוק, ב</w:t>
      </w:r>
      <w:r w:rsidRPr="00541BD1">
        <w:rPr>
          <w:rtl/>
        </w:rPr>
        <w:t xml:space="preserve">הם תנאים הנוגעים לבטיחות העובדים והמבקרים במקום. </w:t>
      </w:r>
    </w:p>
    <w:p w14:paraId="1802CEAB" w14:textId="77777777" w:rsidR="005941F0" w:rsidRPr="005941F0" w:rsidRDefault="005941F0" w:rsidP="00920515">
      <w:pPr>
        <w:pStyle w:val="Hesber"/>
        <w:rPr>
          <w:rtl/>
        </w:rPr>
      </w:pPr>
      <w:r w:rsidRPr="005941F0">
        <w:rPr>
          <w:rFonts w:hint="cs"/>
          <w:rtl/>
        </w:rPr>
        <w:t xml:space="preserve">האחריות לבטיחות העובדים והמבקרים במקום ציבורי מוטלת על מפעיל העסק, ואילו על המדינה מוטלת האחריות לקבוע את תנאי הסף, לפיהם העסק יחויב לפעול, וכן </w:t>
      </w:r>
      <w:r w:rsidRPr="005941F0">
        <w:rPr>
          <w:rtl/>
        </w:rPr>
        <w:t>–</w:t>
      </w:r>
      <w:r w:rsidRPr="005941F0">
        <w:rPr>
          <w:rFonts w:hint="cs"/>
          <w:rtl/>
        </w:rPr>
        <w:t xml:space="preserve"> האחריות לאכוף כללים אלה ולוודא שהם נשמרים בקפידה.</w:t>
      </w:r>
    </w:p>
    <w:p w14:paraId="3EBF2447" w14:textId="77777777" w:rsidR="005941F0" w:rsidRPr="005941F0" w:rsidRDefault="005941F0" w:rsidP="005941F0">
      <w:pPr>
        <w:pStyle w:val="Hesber"/>
        <w:rPr>
          <w:rtl/>
        </w:rPr>
      </w:pPr>
      <w:r w:rsidRPr="005941F0">
        <w:rPr>
          <w:rFonts w:hint="cs"/>
          <w:rtl/>
        </w:rPr>
        <w:t xml:space="preserve">הצעת חוק זו באה להגדיר את מספר האנשים, אשר יכולים לשהות בו זמנית במקום בילוי. על פי ההצעה, בבואנו לקבוע את מספר השוהים המרבי, יש להתייחס למקום הנועד לשימוש הציבור, ולא לכלול "שטחי שירות", כגון: חדרי מטבח, חדרי שירותים וכיו"ב, זאת על מנת לאפשר רמת בטיחות הולמת. על כן, מוצע לקבוע את מספר המבקרים המרבי לפי 0.7 מ"ר לנפש, כפי שמקובל במדינות מפותחות רבות. </w:t>
      </w:r>
    </w:p>
    <w:p w14:paraId="45DF8D70" w14:textId="6470C29B" w:rsidR="005941F0" w:rsidRPr="005941F0" w:rsidRDefault="005941F0" w:rsidP="005941F0">
      <w:pPr>
        <w:pStyle w:val="Hesber"/>
        <w:rPr>
          <w:rtl/>
        </w:rPr>
      </w:pPr>
      <w:r w:rsidRPr="005941F0">
        <w:rPr>
          <w:rFonts w:hint="cs"/>
          <w:rtl/>
        </w:rPr>
        <w:t>בהתאם לתקנות התכנון והבנייה מקדם התפוסה (שטח רצפה לנפש בחדר או בחלק מבניין) המקובל בישראל הוא מ"ר לאדם. בהשוואה ליתר המדינות בעולם, תקן הצפיפות המותרת בישראל (מקדם התפוסה האמור) מחמיר יותר ולעיתים אף גבוה פי שניים ויותר מהמקובל באותן מדינות. בהתאם לכך, הצפיפות המותרת במקומות בילוי במדינות אלה גבוהה יותר מאשר בישראל. באנגליה, בניו זילנד ובסקטולנד מקדם התפוסה עומד על 0.5 מ"ר לאדם</w:t>
      </w:r>
      <w:r w:rsidR="00224B1A">
        <w:rPr>
          <w:rFonts w:hint="cs"/>
          <w:rtl/>
        </w:rPr>
        <w:t xml:space="preserve"> </w:t>
      </w:r>
      <w:r w:rsidRPr="005941F0">
        <w:rPr>
          <w:rFonts w:hint="cs"/>
          <w:rtl/>
        </w:rPr>
        <w:t>(דהיינו פי שניים עד שלושה מכמות המבלים המותרת בישראל למ"ר), ואילו בארה"ב הוא נע בין 0.46-0.65 מ"ר לאדם, בהתאם לגודל המבנה.</w:t>
      </w:r>
    </w:p>
    <w:p w14:paraId="2C41CCC4" w14:textId="77777777" w:rsidR="005941F0" w:rsidRPr="005941F0" w:rsidRDefault="005941F0" w:rsidP="005941F0">
      <w:pPr>
        <w:pStyle w:val="Hesber"/>
        <w:rPr>
          <w:rtl/>
        </w:rPr>
      </w:pPr>
      <w:r w:rsidRPr="005941F0">
        <w:rPr>
          <w:rFonts w:hint="cs"/>
          <w:rtl/>
        </w:rPr>
        <w:t>לסיכום, מקדם התפוסה הקיים היום בישראל מחמיר בהשוואה לזה הקיים במדינות אחרות. כלומר, מספר המבלים המקסימלי במקומות בילוי ברחבי העולם גבוה לעיתים אף פי שניים או שלושה מאשר בישראל.</w:t>
      </w:r>
    </w:p>
    <w:p w14:paraId="73595530" w14:textId="7677E730" w:rsidR="005941F0" w:rsidRPr="005941F0" w:rsidRDefault="00920515" w:rsidP="005941F0">
      <w:pPr>
        <w:pStyle w:val="Hesber"/>
        <w:rPr>
          <w:rtl/>
        </w:rPr>
      </w:pPr>
      <w:r>
        <w:rPr>
          <w:rFonts w:hint="cs"/>
          <w:rtl/>
        </w:rPr>
        <w:t>למען הסר ספק, ב</w:t>
      </w:r>
      <w:r w:rsidR="005941F0" w:rsidRPr="005941F0">
        <w:rPr>
          <w:rFonts w:hint="cs"/>
          <w:rtl/>
        </w:rPr>
        <w:t>קביעת מספר אנשים, לא יובאו בחשבון אנשי שירות, בהם מלצרים, ברמנים, מנקים, טבחים, מאבטחים. הכוונה להגביל מספר "מבלים" בלבד.</w:t>
      </w:r>
    </w:p>
    <w:p w14:paraId="45261869" w14:textId="77777777" w:rsidR="005941F0" w:rsidRPr="005941F0" w:rsidRDefault="005941F0" w:rsidP="005941F0">
      <w:pPr>
        <w:pStyle w:val="Hesber"/>
        <w:rPr>
          <w:rtl/>
        </w:rPr>
      </w:pPr>
      <w:r w:rsidRPr="005941F0">
        <w:rPr>
          <w:rFonts w:hint="cs"/>
          <w:rtl/>
        </w:rPr>
        <w:t>מספר זה של אנשים יירשם ברישיון העסק, והוא יהיה מספר מקסימאלי של אנשים היכולים לשהות בו זמנית במקום. הפרת תנאי זה מתנאי הרישיון ייחשב להפרת תנאי הרישיון, על כל המשתמע מכך.</w:t>
      </w:r>
    </w:p>
    <w:p w14:paraId="04061D39" w14:textId="46109C07" w:rsidR="005941F0" w:rsidRPr="00541BD1" w:rsidRDefault="005941F0" w:rsidP="005941F0">
      <w:pPr>
        <w:pStyle w:val="HesberHeading"/>
        <w:rPr>
          <w:b w:val="0"/>
          <w:bCs w:val="0"/>
          <w:rtl/>
        </w:rPr>
      </w:pPr>
      <w:r w:rsidRPr="00541BD1">
        <w:rPr>
          <w:rFonts w:hint="eastAsia"/>
          <w:b w:val="0"/>
          <w:bCs w:val="0"/>
          <w:rtl/>
        </w:rPr>
        <w:lastRenderedPageBreak/>
        <w:t>רמת</w:t>
      </w:r>
      <w:r w:rsidRPr="00541BD1">
        <w:rPr>
          <w:b w:val="0"/>
          <w:bCs w:val="0"/>
          <w:rtl/>
        </w:rPr>
        <w:t xml:space="preserve"> הענישה </w:t>
      </w:r>
      <w:r w:rsidR="00C12C13" w:rsidRPr="00541BD1">
        <w:rPr>
          <w:rFonts w:hint="eastAsia"/>
          <w:b w:val="0"/>
          <w:bCs w:val="0"/>
          <w:rtl/>
        </w:rPr>
        <w:t>בגין</w:t>
      </w:r>
      <w:r w:rsidR="00C12C13" w:rsidRPr="00541BD1">
        <w:rPr>
          <w:b w:val="0"/>
          <w:bCs w:val="0"/>
          <w:rtl/>
        </w:rPr>
        <w:t xml:space="preserve"> הפרת תנאי הרישיון כאמור </w:t>
      </w:r>
      <w:r w:rsidRPr="00541BD1">
        <w:rPr>
          <w:rFonts w:hint="eastAsia"/>
          <w:b w:val="0"/>
          <w:bCs w:val="0"/>
          <w:rtl/>
        </w:rPr>
        <w:t>חייבת</w:t>
      </w:r>
      <w:r w:rsidRPr="00541BD1">
        <w:rPr>
          <w:b w:val="0"/>
          <w:bCs w:val="0"/>
          <w:rtl/>
        </w:rPr>
        <w:t xml:space="preserve"> להיות מחמירה, וזאת כדי להדגיש את החשיבות בשמירה על בטיחות השוהים במקום. לכן מוצע, כי מי שיפר תנאי זה של הרישיון בפעם הראשונה – עונשו יהיה קנס; על הפרה שנייה של התנאי יוטל גם קנס כאמור על הפרה ראשונה ועסקו ייסגר לתקופה של עד 30 ימים; על הפרה שלישית – יוטל קנס ורישיון העסק יישלל. </w:t>
      </w:r>
    </w:p>
    <w:p w14:paraId="799BD86A" w14:textId="60DD8928" w:rsidR="005941F0" w:rsidRPr="005941F0" w:rsidRDefault="005941F0" w:rsidP="005941F0">
      <w:pPr>
        <w:pStyle w:val="Hesber"/>
        <w:rPr>
          <w:rtl/>
        </w:rPr>
      </w:pPr>
      <w:r w:rsidRPr="005941F0">
        <w:rPr>
          <w:rFonts w:hint="cs"/>
          <w:rtl/>
        </w:rPr>
        <w:t xml:space="preserve">הצעת החוק באה להסדיר את מספר המבקרים המותר במקומות הבילוי בהתאם </w:t>
      </w:r>
      <w:r w:rsidR="00920515">
        <w:rPr>
          <w:rFonts w:hint="cs"/>
          <w:rtl/>
        </w:rPr>
        <w:t>לסטנדרטים הקבועים במדינות המערב לצד זאת היא מבקשת החמרה</w:t>
      </w:r>
      <w:r w:rsidRPr="005941F0">
        <w:rPr>
          <w:rFonts w:hint="cs"/>
          <w:rtl/>
        </w:rPr>
        <w:t xml:space="preserve"> בענישה, עד כדי שלילת רישיון מהמפר המוּעד, אשר מטרתה להרתיע מביצוע ההפרות.</w:t>
      </w:r>
    </w:p>
    <w:p w14:paraId="6ACA4A00" w14:textId="377FC471" w:rsidR="005941F0" w:rsidRDefault="005941F0" w:rsidP="00366FBF">
      <w:pPr>
        <w:pStyle w:val="Hesber"/>
        <w:rPr>
          <w:sz w:val="24"/>
          <w:szCs w:val="24"/>
          <w:rtl/>
        </w:rPr>
      </w:pPr>
      <w:r w:rsidRPr="005941F0">
        <w:rPr>
          <w:rFonts w:hint="cs"/>
          <w:rtl/>
        </w:rPr>
        <w:t xml:space="preserve">הצעת חוק זהה </w:t>
      </w:r>
      <w:r w:rsidR="00366FBF">
        <w:rPr>
          <w:rFonts w:hint="cs"/>
          <w:rtl/>
        </w:rPr>
        <w:t>הונחה על שולחן הכנסת השמונה-עשרה</w:t>
      </w:r>
      <w:r w:rsidR="00366FBF" w:rsidRPr="005941F0">
        <w:rPr>
          <w:rFonts w:hint="cs"/>
          <w:rtl/>
        </w:rPr>
        <w:t xml:space="preserve"> </w:t>
      </w:r>
      <w:r w:rsidRPr="005941F0">
        <w:rPr>
          <w:rFonts w:hint="cs"/>
          <w:rtl/>
        </w:rPr>
        <w:t>על ידי ח</w:t>
      </w:r>
      <w:r w:rsidR="00366FBF">
        <w:rPr>
          <w:rFonts w:hint="cs"/>
          <w:rtl/>
        </w:rPr>
        <w:t>בר הכנסת</w:t>
      </w:r>
      <w:r w:rsidRPr="005941F0">
        <w:rPr>
          <w:rFonts w:hint="cs"/>
          <w:rtl/>
        </w:rPr>
        <w:t xml:space="preserve"> אלכס מילר </w:t>
      </w:r>
      <w:r w:rsidR="00366FBF">
        <w:rPr>
          <w:rFonts w:hint="cs"/>
          <w:rtl/>
        </w:rPr>
        <w:t>וקבוצת חברי הכנסת (</w:t>
      </w:r>
      <w:r w:rsidRPr="005941F0">
        <w:rPr>
          <w:rFonts w:hint="cs"/>
          <w:rtl/>
        </w:rPr>
        <w:t>פ</w:t>
      </w:r>
      <w:r w:rsidR="00366FBF">
        <w:rPr>
          <w:rFonts w:hint="cs"/>
          <w:rtl/>
        </w:rPr>
        <w:t>/</w:t>
      </w:r>
      <w:r w:rsidRPr="005941F0">
        <w:rPr>
          <w:rFonts w:hint="cs"/>
          <w:rtl/>
        </w:rPr>
        <w:t>2295/18</w:t>
      </w:r>
      <w:r w:rsidR="00366FBF">
        <w:rPr>
          <w:rFonts w:hint="cs"/>
          <w:sz w:val="24"/>
          <w:szCs w:val="24"/>
          <w:rtl/>
        </w:rPr>
        <w:t>)</w:t>
      </w:r>
      <w:r w:rsidRPr="003E27E3">
        <w:rPr>
          <w:rFonts w:hint="cs"/>
          <w:sz w:val="24"/>
          <w:szCs w:val="24"/>
          <w:rtl/>
        </w:rPr>
        <w:t xml:space="preserve">. </w:t>
      </w:r>
    </w:p>
    <w:p w14:paraId="04E087A0" w14:textId="68A3C499" w:rsidR="00920515" w:rsidRDefault="00920515" w:rsidP="00366FBF">
      <w:pPr>
        <w:pStyle w:val="Hesber"/>
        <w:rPr>
          <w:sz w:val="24"/>
          <w:szCs w:val="24"/>
          <w:rtl/>
        </w:rPr>
      </w:pPr>
    </w:p>
    <w:p w14:paraId="4186BA3E" w14:textId="77777777" w:rsidR="00920515" w:rsidRDefault="00920515" w:rsidP="00366FBF">
      <w:pPr>
        <w:pStyle w:val="Hesber"/>
        <w:rPr>
          <w:sz w:val="24"/>
          <w:szCs w:val="24"/>
          <w:rtl/>
        </w:rPr>
      </w:pPr>
    </w:p>
    <w:p w14:paraId="09DE539B" w14:textId="77777777" w:rsidR="00920515" w:rsidRPr="003E27E3" w:rsidRDefault="00920515" w:rsidP="00366FBF">
      <w:pPr>
        <w:pStyle w:val="Hesber"/>
        <w:rPr>
          <w:sz w:val="24"/>
          <w:szCs w:val="24"/>
          <w:rtl/>
        </w:rPr>
      </w:pPr>
      <w:bookmarkStart w:id="8" w:name="_GoBack"/>
      <w:bookmarkEnd w:id="8"/>
    </w:p>
    <w:p w14:paraId="2479ACBD" w14:textId="77777777" w:rsidR="00920515" w:rsidRDefault="00473F4A" w:rsidP="00920515">
      <w:pPr>
        <w:pStyle w:val="Hesber"/>
        <w:rPr>
          <w:rtl/>
        </w:rPr>
      </w:pPr>
      <w:r>
        <w:rPr>
          <w:rFonts w:hint="cs"/>
          <w:rtl/>
        </w:rPr>
        <w:t xml:space="preserve"> </w:t>
      </w:r>
      <w:r w:rsidR="00920515">
        <w:rPr>
          <w:rtl/>
        </w:rPr>
        <w:t>---------------------------------</w:t>
      </w:r>
    </w:p>
    <w:p w14:paraId="6AE48E32" w14:textId="77777777" w:rsidR="00920515" w:rsidRDefault="00920515" w:rsidP="00920515">
      <w:pPr>
        <w:pStyle w:val="Hesber"/>
        <w:rPr>
          <w:rtl/>
        </w:rPr>
      </w:pPr>
      <w:r>
        <w:rPr>
          <w:rtl/>
        </w:rPr>
        <w:t>הוגשה ליו"ר הכנסת והסגנים</w:t>
      </w:r>
    </w:p>
    <w:p w14:paraId="5D301590" w14:textId="77777777" w:rsidR="00920515" w:rsidRDefault="00920515" w:rsidP="00920515">
      <w:pPr>
        <w:pStyle w:val="Hesber"/>
        <w:rPr>
          <w:rtl/>
        </w:rPr>
      </w:pPr>
      <w:r>
        <w:rPr>
          <w:rtl/>
        </w:rPr>
        <w:t>והונחה על שולחן הכנסת ביום</w:t>
      </w:r>
    </w:p>
    <w:p w14:paraId="7F6961CB" w14:textId="18B829D4" w:rsidR="00E13C27" w:rsidRDefault="00920515" w:rsidP="00920515">
      <w:pPr>
        <w:pStyle w:val="Hesber"/>
        <w:rPr>
          <w:rtl/>
        </w:rPr>
      </w:pPr>
      <w:r>
        <w:rPr>
          <w:rtl/>
        </w:rPr>
        <w:t>כ' בחשוון התשע"ז - 21.11.16</w:t>
      </w:r>
    </w:p>
    <w:sectPr w:rsidR="00E13C27"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920515">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48B26247" w14:textId="77777777" w:rsidR="00CE33B0" w:rsidRDefault="00CE33B0" w:rsidP="00CE33B0">
      <w:pPr>
        <w:pStyle w:val="a4"/>
        <w:rPr>
          <w:rtl/>
        </w:rPr>
      </w:pPr>
      <w:r>
        <w:rPr>
          <w:rStyle w:val="a5"/>
        </w:rPr>
        <w:footnoteRef/>
      </w:r>
      <w:r>
        <w:rPr>
          <w:rtl/>
        </w:rPr>
        <w:t xml:space="preserve"> </w:t>
      </w:r>
      <w:r>
        <w:rPr>
          <w:rFonts w:hint="cs"/>
          <w:rtl/>
        </w:rPr>
        <w:t>ס"ח התשכ"ח עמ' 204.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05E7"/>
    <w:rsid w:val="00203A7F"/>
    <w:rsid w:val="0021633A"/>
    <w:rsid w:val="002200A1"/>
    <w:rsid w:val="00224B1A"/>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66FBF"/>
    <w:rsid w:val="003710F6"/>
    <w:rsid w:val="00386E88"/>
    <w:rsid w:val="00396585"/>
    <w:rsid w:val="003D6E38"/>
    <w:rsid w:val="003D74A0"/>
    <w:rsid w:val="004033D8"/>
    <w:rsid w:val="004073F0"/>
    <w:rsid w:val="00412A7D"/>
    <w:rsid w:val="00416B4D"/>
    <w:rsid w:val="00417CFC"/>
    <w:rsid w:val="00473F4A"/>
    <w:rsid w:val="004A06DC"/>
    <w:rsid w:val="004B24ED"/>
    <w:rsid w:val="004B6625"/>
    <w:rsid w:val="004D2D82"/>
    <w:rsid w:val="004D3876"/>
    <w:rsid w:val="004E4552"/>
    <w:rsid w:val="004E6CDF"/>
    <w:rsid w:val="00541BD1"/>
    <w:rsid w:val="00553C9D"/>
    <w:rsid w:val="00562A66"/>
    <w:rsid w:val="005941F0"/>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0515"/>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12C13"/>
    <w:rsid w:val="00C23B1A"/>
    <w:rsid w:val="00C310EB"/>
    <w:rsid w:val="00C9176A"/>
    <w:rsid w:val="00CE33B0"/>
    <w:rsid w:val="00CF1AA2"/>
    <w:rsid w:val="00D17774"/>
    <w:rsid w:val="00D63620"/>
    <w:rsid w:val="00D8410D"/>
    <w:rsid w:val="00D867D7"/>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D4A6F"/>
    <w:rsid w:val="00EF3A3A"/>
    <w:rsid w:val="00F628D6"/>
    <w:rsid w:val="00F67051"/>
    <w:rsid w:val="00F86A1E"/>
    <w:rsid w:val="00FA5E88"/>
    <w:rsid w:val="00FC3B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070F07EC-CB0F-4640-A1EC-DA82C477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http://purl.org/dc/term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7E9D6B-2747-41EF-8C14-11013D766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1C3EB5-CC75-409E-A684-20E93DE5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678</Words>
  <Characters>3393</Characters>
  <Application>Microsoft Office Word</Application>
  <DocSecurity>0</DocSecurity>
  <Lines>28</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11</cp:revision>
  <cp:lastPrinted>2016-11-16T12:06:00Z</cp:lastPrinted>
  <dcterms:created xsi:type="dcterms:W3CDTF">2015-04-20T09:58:00Z</dcterms:created>
  <dcterms:modified xsi:type="dcterms:W3CDTF">2016-11-16T12:07:00Z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567171</vt:r8>
  </property>
</Properties>
</file>