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2005691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עודד פורר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חמד עמאר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רוברט אילטוב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יוליה מלינובסקי</w:t>
      </w:r>
      <w:bookmarkEnd w:id="3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06C39084" w:rsidR="00E13C27" w:rsidRPr="00E06736" w:rsidRDefault="0021698D" w:rsidP="0021698D">
      <w:pPr>
        <w:pStyle w:val="David"/>
        <w:spacing w:before="0" w:line="240" w:lineRule="auto"/>
        <w:ind w:left="3600"/>
        <w:rPr>
          <w:rtl/>
        </w:rPr>
      </w:pPr>
      <w:r>
        <w:t xml:space="preserve">    </w:t>
      </w:r>
      <w:r w:rsidR="00904591">
        <w:t xml:space="preserve">   </w:t>
      </w:r>
      <w:r w:rsidR="0027393D">
        <w:t xml:space="preserve">                         </w:t>
      </w:r>
      <w:r w:rsidR="00904591">
        <w:t xml:space="preserve">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 xml:space="preserve"> </w:t>
      </w:r>
      <w:r w:rsidR="00904591">
        <w:rPr>
          <w:rFonts w:hint="cs"/>
          <w:rtl/>
        </w:rPr>
        <w:t>פ/3238/20</w:t>
      </w:r>
      <w:bookmarkEnd w:id="6"/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7F6961AD" w14:textId="7F8D45FF" w:rsidR="00E13C27" w:rsidRPr="00F67051" w:rsidRDefault="00A443CF" w:rsidP="000407AB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 לתיקון פקודת מס הכנסה (עידוד צמיחה לעסקים עצמאיים קטנים ובינוניים), </w:t>
      </w:r>
      <w:r w:rsidR="0001116E">
        <w:rPr>
          <w:rtl/>
        </w:rPr>
        <w:br/>
      </w:r>
      <w:r>
        <w:rPr>
          <w:rFonts w:hint="cs"/>
          <w:rtl/>
        </w:rPr>
        <w:t>התשע"ו</w:t>
      </w:r>
      <w:r w:rsidR="000407AB">
        <w:rPr>
          <w:rFonts w:hint="eastAsia"/>
          <w:rtl/>
        </w:rPr>
        <w:t>–</w:t>
      </w:r>
      <w:r>
        <w:rPr>
          <w:rFonts w:hint="cs"/>
          <w:rtl/>
        </w:rPr>
        <w:t>2016</w:t>
      </w:r>
      <w:bookmarkEnd w:id="7"/>
    </w:p>
    <w:tbl>
      <w:tblPr>
        <w:bidiVisual/>
        <w:tblW w:w="9636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624"/>
        <w:gridCol w:w="7143"/>
      </w:tblGrid>
      <w:tr w:rsidR="0027393D" w:rsidRPr="00BB1162" w14:paraId="40CFFE15" w14:textId="77777777" w:rsidTr="00B1409D">
        <w:trPr>
          <w:cantSplit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059E2C47" w14:textId="77777777" w:rsidR="0027393D" w:rsidRDefault="0027393D" w:rsidP="0091747A">
            <w:pPr>
              <w:pStyle w:val="TableSideHeading"/>
            </w:pPr>
            <w:r>
              <w:rPr>
                <w:rFonts w:hint="cs"/>
                <w:rtl/>
              </w:rPr>
              <w:t>תיקון סעיף 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546C0" w14:textId="77777777" w:rsidR="0027393D" w:rsidRPr="004018F6" w:rsidRDefault="0027393D" w:rsidP="0091747A">
            <w:pPr>
              <w:pStyle w:val="TableText"/>
              <w:ind w:right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6B47E959" w14:textId="4706138A" w:rsidR="0027393D" w:rsidRPr="00B1409D" w:rsidRDefault="000407AB" w:rsidP="004264E9">
            <w:pPr>
              <w:pStyle w:val="TableBlock"/>
            </w:pPr>
            <w:r w:rsidRPr="0006405A">
              <w:rPr>
                <w:rtl/>
              </w:rPr>
              <w:t>בפקוד</w:t>
            </w:r>
            <w:r w:rsidRPr="00B1409D">
              <w:rPr>
                <w:rtl/>
              </w:rPr>
              <w:t>ת מס הכנסה</w:t>
            </w:r>
            <w:r w:rsidR="004264E9">
              <w:rPr>
                <w:rStyle w:val="a5"/>
                <w:rtl/>
              </w:rPr>
              <w:footnoteReference w:id="2"/>
            </w:r>
            <w:r w:rsidR="004264E9" w:rsidRPr="00B1409D">
              <w:rPr>
                <w:rtl/>
              </w:rPr>
              <w:t xml:space="preserve"> </w:t>
            </w:r>
            <w:r w:rsidR="007463BE" w:rsidRPr="00B1409D">
              <w:rPr>
                <w:rtl/>
              </w:rPr>
              <w:t>(להלן – הפקודה)</w:t>
            </w:r>
            <w:r w:rsidRPr="00B1409D">
              <w:rPr>
                <w:rtl/>
              </w:rPr>
              <w:t xml:space="preserve">, </w:t>
            </w:r>
            <w:r w:rsidR="0027393D" w:rsidRPr="00B1409D">
              <w:rPr>
                <w:rtl/>
              </w:rPr>
              <w:t>בסעיף 21, אחרי סעיף קטן (ד) יבוא:</w:t>
            </w:r>
          </w:p>
        </w:tc>
      </w:tr>
      <w:tr w:rsidR="0027393D" w14:paraId="2A9DB34C" w14:textId="77777777" w:rsidTr="00B1409D">
        <w:trPr>
          <w:cantSplit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06534420" w14:textId="77777777" w:rsidR="0027393D" w:rsidRDefault="0027393D" w:rsidP="0091747A">
            <w:pPr>
              <w:pStyle w:val="TableSideHeading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92098" w14:textId="77777777" w:rsidR="0027393D" w:rsidRDefault="0027393D" w:rsidP="0091747A">
            <w:pPr>
              <w:pStyle w:val="TableText"/>
              <w:ind w:right="0"/>
            </w:pP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33143E10" w14:textId="0363DDCD" w:rsidR="0027393D" w:rsidRDefault="0027393D" w:rsidP="00B1409D">
            <w:pPr>
              <w:pStyle w:val="TableBlock"/>
            </w:pPr>
            <w:r>
              <w:rPr>
                <w:sz w:val="26"/>
                <w:rtl/>
              </w:rPr>
              <w:t>"</w:t>
            </w:r>
            <w:r>
              <w:rPr>
                <w:rtl/>
              </w:rPr>
              <w:t>(ה)</w:t>
            </w:r>
            <w:r>
              <w:rPr>
                <w:rFonts w:hint="cs"/>
                <w:rtl/>
              </w:rPr>
              <w:tab/>
            </w:r>
            <w:r>
              <w:rPr>
                <w:sz w:val="26"/>
                <w:rtl/>
              </w:rPr>
              <w:t>שר האוצר, באישור ועדת הכספים של הכנסת</w:t>
            </w:r>
            <w:r>
              <w:rPr>
                <w:sz w:val="28"/>
                <w:szCs w:val="28"/>
                <w:rtl/>
              </w:rPr>
              <w:t>,</w:t>
            </w:r>
            <w:r>
              <w:rPr>
                <w:sz w:val="26"/>
                <w:rtl/>
              </w:rPr>
              <w:t xml:space="preserve"> רשאי לקבוע כי</w:t>
            </w:r>
            <w:r>
              <w:rPr>
                <w:sz w:val="28"/>
                <w:szCs w:val="28"/>
                <w:rtl/>
              </w:rPr>
              <w:t xml:space="preserve"> </w:t>
            </w:r>
            <w:r w:rsidR="000407AB">
              <w:rPr>
                <w:rFonts w:hint="cs"/>
                <w:sz w:val="26"/>
                <w:rtl/>
              </w:rPr>
              <w:t>לגבי</w:t>
            </w:r>
            <w:r w:rsidR="000407AB">
              <w:rPr>
                <w:sz w:val="26"/>
                <w:rtl/>
              </w:rPr>
              <w:t xml:space="preserve"> </w:t>
            </w:r>
            <w:r>
              <w:rPr>
                <w:sz w:val="26"/>
                <w:rtl/>
              </w:rPr>
              <w:t>עסק חדש</w:t>
            </w:r>
            <w:r w:rsidR="0001116E">
              <w:rPr>
                <w:rFonts w:hint="cs"/>
                <w:sz w:val="26"/>
                <w:rtl/>
              </w:rPr>
              <w:t>,</w:t>
            </w:r>
            <w:r>
              <w:rPr>
                <w:sz w:val="26"/>
                <w:rtl/>
              </w:rPr>
              <w:t xml:space="preserve"> יותר ניכוי</w:t>
            </w:r>
            <w:r>
              <w:rPr>
                <w:rFonts w:hint="cs"/>
                <w:sz w:val="26"/>
                <w:rtl/>
              </w:rPr>
              <w:t xml:space="preserve"> בעד</w:t>
            </w:r>
            <w:r>
              <w:rPr>
                <w:sz w:val="26"/>
                <w:rtl/>
              </w:rPr>
              <w:t xml:space="preserve"> פחת מואץ</w:t>
            </w:r>
            <w:r>
              <w:rPr>
                <w:rFonts w:hint="cs"/>
                <w:sz w:val="26"/>
                <w:rtl/>
              </w:rPr>
              <w:t xml:space="preserve"> של נכסים</w:t>
            </w:r>
            <w:r>
              <w:rPr>
                <w:sz w:val="26"/>
                <w:rtl/>
              </w:rPr>
              <w:t xml:space="preserve"> בשיעור של עד 200% מהפחת המותר בניכוי לפי כל דין לכל תקופת אחזקת הנכס</w:t>
            </w:r>
            <w:r>
              <w:rPr>
                <w:rFonts w:hint="cs"/>
                <w:sz w:val="26"/>
                <w:rtl/>
              </w:rPr>
              <w:t>, הוראה זו לא תחול על מקרקעין וכלי רכב;</w:t>
            </w:r>
            <w:r>
              <w:rPr>
                <w:sz w:val="26"/>
                <w:rtl/>
              </w:rPr>
              <w:t xml:space="preserve"> </w:t>
            </w:r>
            <w:r>
              <w:rPr>
                <w:rFonts w:hint="cs"/>
                <w:sz w:val="26"/>
                <w:rtl/>
              </w:rPr>
              <w:t>ב</w:t>
            </w:r>
            <w:r>
              <w:rPr>
                <w:sz w:val="26"/>
                <w:rtl/>
              </w:rPr>
              <w:t xml:space="preserve">סעיף </w:t>
            </w:r>
            <w:r>
              <w:rPr>
                <w:rFonts w:hint="cs"/>
                <w:sz w:val="26"/>
                <w:rtl/>
              </w:rPr>
              <w:t xml:space="preserve">קטן </w:t>
            </w:r>
            <w:r w:rsidRPr="00E928F1">
              <w:rPr>
                <w:sz w:val="26"/>
                <w:rtl/>
              </w:rPr>
              <w:t>זה, "עסק חדש"</w:t>
            </w:r>
            <w:r w:rsidRPr="00E928F1">
              <w:rPr>
                <w:rFonts w:hint="cs"/>
                <w:sz w:val="26"/>
                <w:rtl/>
              </w:rPr>
              <w:t xml:space="preserve"> – </w:t>
            </w:r>
            <w:r w:rsidRPr="00E928F1">
              <w:rPr>
                <w:sz w:val="26"/>
                <w:rtl/>
              </w:rPr>
              <w:t>עסק שפעילותו העסקית החלה באותה שנת מס בה הוגשה הבקשה</w:t>
            </w:r>
            <w:r w:rsidRPr="00E928F1">
              <w:rPr>
                <w:rFonts w:hint="cs"/>
                <w:sz w:val="26"/>
                <w:rtl/>
              </w:rPr>
              <w:t xml:space="preserve"> לניכוי ובלבד שמחזור העסקים שלו באותה שנה לא עלה על 2.5 מיליון שקלים חדשים.</w:t>
            </w:r>
            <w:r w:rsidRPr="00E928F1">
              <w:rPr>
                <w:sz w:val="26"/>
                <w:rtl/>
              </w:rPr>
              <w:t>"</w:t>
            </w:r>
          </w:p>
        </w:tc>
      </w:tr>
      <w:tr w:rsidR="0027393D" w:rsidRPr="00BB1162" w14:paraId="3E1ABFB6" w14:textId="77777777" w:rsidTr="00B1409D">
        <w:trPr>
          <w:cantSplit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7EF42905" w14:textId="77777777" w:rsidR="0027393D" w:rsidRDefault="0027393D" w:rsidP="0091747A">
            <w:pPr>
              <w:pStyle w:val="TableSideHeading"/>
            </w:pPr>
            <w:r>
              <w:rPr>
                <w:rFonts w:hint="cs"/>
                <w:rtl/>
              </w:rPr>
              <w:t>תיקון סעיף 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6B0C8" w14:textId="77777777" w:rsidR="0027393D" w:rsidRDefault="0027393D" w:rsidP="0091747A">
            <w:pPr>
              <w:pStyle w:val="TableText"/>
              <w:ind w:right="0"/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0248CE30" w14:textId="2940A78A" w:rsidR="0027393D" w:rsidRPr="00B1409D" w:rsidRDefault="0027393D" w:rsidP="00B1409D">
            <w:pPr>
              <w:pStyle w:val="TableBlock"/>
            </w:pPr>
            <w:r w:rsidRPr="00B1409D">
              <w:rPr>
                <w:rtl/>
              </w:rPr>
              <w:t>בסעיף 28 לפקודה, אחרי סעיף קטן (</w:t>
            </w:r>
            <w:r w:rsidR="0001116E">
              <w:rPr>
                <w:rFonts w:hint="cs"/>
                <w:rtl/>
              </w:rPr>
              <w:t>ח</w:t>
            </w:r>
            <w:r w:rsidRPr="00B1409D">
              <w:rPr>
                <w:rtl/>
              </w:rPr>
              <w:t>) יבוא:</w:t>
            </w:r>
          </w:p>
        </w:tc>
      </w:tr>
      <w:tr w:rsidR="0027393D" w14:paraId="3E41E1DD" w14:textId="77777777" w:rsidTr="00B1409D">
        <w:trPr>
          <w:cantSplit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23396C68" w14:textId="77777777" w:rsidR="0027393D" w:rsidRDefault="0027393D" w:rsidP="0091747A">
            <w:pPr>
              <w:pStyle w:val="TableSideHeading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0A09A" w14:textId="77777777" w:rsidR="0027393D" w:rsidRDefault="0027393D" w:rsidP="0091747A">
            <w:pPr>
              <w:pStyle w:val="TableText"/>
              <w:ind w:right="0"/>
            </w:pP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14:paraId="4C1E3772" w14:textId="105775CE" w:rsidR="0027393D" w:rsidRDefault="0027393D" w:rsidP="00B1409D">
            <w:pPr>
              <w:pStyle w:val="TableBlock"/>
            </w:pPr>
            <w:r>
              <w:rPr>
                <w:sz w:val="26"/>
                <w:rtl/>
              </w:rPr>
              <w:t>"</w:t>
            </w:r>
            <w:r>
              <w:rPr>
                <w:rFonts w:hint="cs"/>
                <w:sz w:val="26"/>
                <w:rtl/>
              </w:rPr>
              <w:t>(</w:t>
            </w:r>
            <w:r w:rsidR="0001116E">
              <w:rPr>
                <w:rFonts w:hint="cs"/>
                <w:sz w:val="26"/>
                <w:rtl/>
              </w:rPr>
              <w:t>ח1</w:t>
            </w:r>
            <w:r>
              <w:rPr>
                <w:rFonts w:hint="cs"/>
                <w:sz w:val="26"/>
                <w:rtl/>
              </w:rPr>
              <w:t>)</w:t>
            </w:r>
            <w:r w:rsidR="00B1409D">
              <w:rPr>
                <w:sz w:val="26"/>
                <w:rtl/>
              </w:rPr>
              <w:tab/>
            </w:r>
            <w:r>
              <w:rPr>
                <w:sz w:val="26"/>
                <w:rtl/>
              </w:rPr>
              <w:t xml:space="preserve">על אף האמור בכל דין, עסק </w:t>
            </w:r>
            <w:r>
              <w:rPr>
                <w:rFonts w:hint="cs"/>
                <w:sz w:val="26"/>
                <w:rtl/>
              </w:rPr>
              <w:t xml:space="preserve">זעיר, קטן או בינוני </w:t>
            </w:r>
            <w:r>
              <w:rPr>
                <w:sz w:val="26"/>
                <w:rtl/>
              </w:rPr>
              <w:t>המאוגד כחברה</w:t>
            </w:r>
            <w:r>
              <w:rPr>
                <w:rFonts w:hint="cs"/>
                <w:sz w:val="26"/>
                <w:rtl/>
              </w:rPr>
              <w:t>,</w:t>
            </w:r>
            <w:r>
              <w:rPr>
                <w:sz w:val="26"/>
                <w:rtl/>
              </w:rPr>
              <w:t xml:space="preserve"> שצבר הפסדים, רשאי למכור את מניות החברה או לשנות את תחום פעילותה ולקזז את ההפסדים</w:t>
            </w:r>
            <w:r>
              <w:rPr>
                <w:rFonts w:hint="cs"/>
                <w:sz w:val="26"/>
                <w:rtl/>
              </w:rPr>
              <w:t xml:space="preserve"> </w:t>
            </w:r>
            <w:r>
              <w:rPr>
                <w:sz w:val="26"/>
                <w:rtl/>
              </w:rPr>
              <w:t>שנצברו</w:t>
            </w:r>
            <w:r>
              <w:rPr>
                <w:rFonts w:hint="cs"/>
                <w:sz w:val="26"/>
                <w:rtl/>
              </w:rPr>
              <w:t xml:space="preserve"> </w:t>
            </w:r>
            <w:r>
              <w:rPr>
                <w:sz w:val="26"/>
                <w:rtl/>
              </w:rPr>
              <w:t>לצרכי מס מרווחים עתידיים</w:t>
            </w:r>
            <w:r>
              <w:rPr>
                <w:rFonts w:hint="cs"/>
                <w:sz w:val="26"/>
                <w:rtl/>
              </w:rPr>
              <w:t>,</w:t>
            </w:r>
            <w:r>
              <w:rPr>
                <w:sz w:val="26"/>
                <w:rtl/>
              </w:rPr>
              <w:t xml:space="preserve"> מבלי</w:t>
            </w:r>
            <w:r>
              <w:rPr>
                <w:rFonts w:hint="cs"/>
                <w:sz w:val="26"/>
                <w:rtl/>
              </w:rPr>
              <w:t xml:space="preserve"> </w:t>
            </w:r>
            <w:r>
              <w:rPr>
                <w:sz w:val="26"/>
                <w:rtl/>
              </w:rPr>
              <w:t>שהקיזוז</w:t>
            </w:r>
            <w:r>
              <w:rPr>
                <w:rFonts w:hint="cs"/>
                <w:sz w:val="26"/>
                <w:rtl/>
              </w:rPr>
              <w:t xml:space="preserve"> </w:t>
            </w:r>
            <w:r>
              <w:rPr>
                <w:sz w:val="26"/>
                <w:rtl/>
              </w:rPr>
              <w:t xml:space="preserve">ייחשב      עסקה </w:t>
            </w:r>
            <w:r>
              <w:rPr>
                <w:rFonts w:hint="cs"/>
                <w:sz w:val="26"/>
                <w:rtl/>
              </w:rPr>
              <w:t>לפי הוראות</w:t>
            </w:r>
            <w:r>
              <w:rPr>
                <w:sz w:val="26"/>
                <w:rtl/>
              </w:rPr>
              <w:t xml:space="preserve"> סעיף 86</w:t>
            </w:r>
            <w:r>
              <w:rPr>
                <w:rFonts w:hint="cs"/>
                <w:sz w:val="26"/>
                <w:rtl/>
              </w:rPr>
              <w:t>; בסעיף קטן זה, "עסק זעיר, קטן או בינוני" – עסק שמחזור העסקים שלו בשנה שקדמה לשנה בה מתבקשת ההנחה אינו עולה על 2.5 מיליון שקלים חדשים</w:t>
            </w:r>
            <w:r>
              <w:rPr>
                <w:sz w:val="26"/>
                <w:rtl/>
              </w:rPr>
              <w:t>".</w:t>
            </w:r>
          </w:p>
        </w:tc>
      </w:tr>
    </w:tbl>
    <w:p w14:paraId="504465E3" w14:textId="77777777" w:rsidR="0021698D" w:rsidRDefault="0021698D" w:rsidP="002D1EE3">
      <w:pPr>
        <w:pStyle w:val="HeadDivreiHesber"/>
        <w:rPr>
          <w:rtl/>
        </w:rPr>
      </w:pPr>
    </w:p>
    <w:p w14:paraId="78E43C34" w14:textId="77777777" w:rsidR="0021698D" w:rsidRDefault="0021698D" w:rsidP="002D1EE3">
      <w:pPr>
        <w:pStyle w:val="HeadDivreiHesber"/>
        <w:rPr>
          <w:rtl/>
        </w:rPr>
      </w:pPr>
      <w:bookmarkStart w:id="8" w:name="_GoBack"/>
      <w:bookmarkEnd w:id="8"/>
    </w:p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lastRenderedPageBreak/>
        <w:t>דברי הסבר</w:t>
      </w:r>
    </w:p>
    <w:p w14:paraId="70AC187E" w14:textId="591A1BE3" w:rsidR="0027393D" w:rsidRPr="009967C1" w:rsidRDefault="0027393D" w:rsidP="001C3E25">
      <w:pPr>
        <w:pStyle w:val="Hesber"/>
      </w:pPr>
      <w:r w:rsidRPr="009967C1">
        <w:rPr>
          <w:rFonts w:hint="cs"/>
          <w:rtl/>
        </w:rPr>
        <w:t>עסקים</w:t>
      </w:r>
      <w:r w:rsidRPr="009967C1">
        <w:t xml:space="preserve"> </w:t>
      </w:r>
      <w:r w:rsidRPr="009967C1">
        <w:rPr>
          <w:rFonts w:hint="cs"/>
          <w:rtl/>
        </w:rPr>
        <w:t>קטנים</w:t>
      </w:r>
      <w:r w:rsidRPr="009967C1">
        <w:t xml:space="preserve"> </w:t>
      </w:r>
      <w:r w:rsidRPr="009967C1">
        <w:rPr>
          <w:rFonts w:hint="cs"/>
          <w:rtl/>
        </w:rPr>
        <w:t>ובינוניים</w:t>
      </w:r>
      <w:r w:rsidRPr="009967C1">
        <w:t xml:space="preserve"> </w:t>
      </w:r>
      <w:r w:rsidRPr="009967C1">
        <w:rPr>
          <w:rFonts w:hint="cs"/>
          <w:rtl/>
        </w:rPr>
        <w:t>הם</w:t>
      </w:r>
      <w:r w:rsidRPr="009967C1">
        <w:t xml:space="preserve"> </w:t>
      </w:r>
      <w:r w:rsidRPr="009967C1">
        <w:rPr>
          <w:rFonts w:hint="cs"/>
          <w:rtl/>
        </w:rPr>
        <w:t>בסיס</w:t>
      </w:r>
      <w:r w:rsidRPr="009967C1">
        <w:t xml:space="preserve"> </w:t>
      </w:r>
      <w:r w:rsidRPr="009967C1">
        <w:rPr>
          <w:rFonts w:hint="cs"/>
          <w:rtl/>
        </w:rPr>
        <w:t>חשוב</w:t>
      </w:r>
      <w:r w:rsidRPr="009967C1">
        <w:t xml:space="preserve"> </w:t>
      </w:r>
      <w:r w:rsidRPr="009967C1">
        <w:rPr>
          <w:rFonts w:hint="cs"/>
          <w:rtl/>
        </w:rPr>
        <w:t>לצמיחת</w:t>
      </w:r>
      <w:r w:rsidRPr="009967C1">
        <w:t xml:space="preserve"> </w:t>
      </w:r>
      <w:r w:rsidR="008310CB">
        <w:rPr>
          <w:rFonts w:hint="cs"/>
          <w:rtl/>
        </w:rPr>
        <w:t xml:space="preserve">המשק, </w:t>
      </w:r>
      <w:r w:rsidRPr="009967C1">
        <w:t xml:space="preserve"> </w:t>
      </w:r>
      <w:r w:rsidRPr="009967C1">
        <w:rPr>
          <w:rFonts w:hint="cs"/>
          <w:rtl/>
        </w:rPr>
        <w:t>להגברת</w:t>
      </w:r>
      <w:r w:rsidRPr="009967C1">
        <w:t xml:space="preserve"> </w:t>
      </w:r>
      <w:r w:rsidRPr="009967C1">
        <w:rPr>
          <w:rFonts w:hint="cs"/>
          <w:rtl/>
        </w:rPr>
        <w:t>הייצור</w:t>
      </w:r>
      <w:r w:rsidRPr="009967C1">
        <w:t xml:space="preserve"> </w:t>
      </w:r>
      <w:r w:rsidRPr="009967C1">
        <w:rPr>
          <w:rFonts w:hint="cs"/>
          <w:rtl/>
        </w:rPr>
        <w:t>וליצירת</w:t>
      </w:r>
      <w:r w:rsidRPr="009967C1">
        <w:t xml:space="preserve"> </w:t>
      </w:r>
      <w:r w:rsidRPr="009967C1">
        <w:rPr>
          <w:rFonts w:hint="cs"/>
          <w:rtl/>
        </w:rPr>
        <w:t>מקומות</w:t>
      </w:r>
      <w:r w:rsidRPr="009967C1">
        <w:t xml:space="preserve"> </w:t>
      </w:r>
      <w:r w:rsidRPr="009967C1">
        <w:rPr>
          <w:rFonts w:hint="cs"/>
          <w:rtl/>
        </w:rPr>
        <w:t>תעסוקה</w:t>
      </w:r>
      <w:r w:rsidR="001C3E25">
        <w:rPr>
          <w:rFonts w:hint="cs"/>
          <w:rtl/>
        </w:rPr>
        <w:t xml:space="preserve">. עסקים אלה הם גם הפגיעים ביותר בזמנים קשים. </w:t>
      </w:r>
      <w:r w:rsidR="001C3E25" w:rsidRPr="001C3E25">
        <w:rPr>
          <w:rtl/>
        </w:rPr>
        <w:t>הם אינם מחזיקים בעתודות של תזרים מזומנים או משופעים בביטחונות, ולכן כל האטה או ירידה במציאת אשראי במשק מביאה א</w:t>
      </w:r>
      <w:r w:rsidR="008310CB">
        <w:rPr>
          <w:rFonts w:hint="cs"/>
          <w:rtl/>
        </w:rPr>
        <w:t>י</w:t>
      </w:r>
      <w:r w:rsidR="001C3E25" w:rsidRPr="001C3E25">
        <w:rPr>
          <w:rtl/>
        </w:rPr>
        <w:t>תה קשיי הישרדות וסכנת קריסה לעסקים אלו.</w:t>
      </w:r>
      <w:r w:rsidRPr="009967C1">
        <w:rPr>
          <w:rFonts w:hint="cs"/>
          <w:rtl/>
        </w:rPr>
        <w:t xml:space="preserve"> </w:t>
      </w:r>
    </w:p>
    <w:p w14:paraId="1CADCCE2" w14:textId="525E59CE" w:rsidR="0027393D" w:rsidRPr="009967C1" w:rsidRDefault="0001116E" w:rsidP="00B1409D">
      <w:pPr>
        <w:pStyle w:val="Hesber"/>
        <w:rPr>
          <w:rtl/>
        </w:rPr>
      </w:pPr>
      <w:r>
        <w:rPr>
          <w:rFonts w:hint="cs"/>
          <w:rtl/>
        </w:rPr>
        <w:t>הצע</w:t>
      </w:r>
      <w:r w:rsidR="00B1409D">
        <w:rPr>
          <w:rFonts w:hint="cs"/>
          <w:rtl/>
        </w:rPr>
        <w:t>ת חוק</w:t>
      </w:r>
      <w:r>
        <w:rPr>
          <w:rFonts w:hint="cs"/>
          <w:rtl/>
        </w:rPr>
        <w:t xml:space="preserve"> זו מבקשת </w:t>
      </w:r>
      <w:r w:rsidR="0027393D" w:rsidRPr="009967C1">
        <w:rPr>
          <w:rFonts w:hint="cs"/>
          <w:rtl/>
        </w:rPr>
        <w:t>לעודד עסקים קטנים ובינוניים באמצעות סיוע למבקשים לפתוח עסק חדש בניכוי פחת מואץ וכן קיזוז הפסדים שנצברו לצרכי מס מרווחים עתידיים</w:t>
      </w:r>
      <w:r w:rsidR="001C3E25">
        <w:rPr>
          <w:rFonts w:hint="cs"/>
          <w:rtl/>
        </w:rPr>
        <w:t>, מבלי</w:t>
      </w:r>
      <w:r w:rsidR="0027393D" w:rsidRPr="009967C1">
        <w:rPr>
          <w:rFonts w:hint="cs"/>
          <w:rtl/>
        </w:rPr>
        <w:t xml:space="preserve"> שהקיזוז </w:t>
      </w:r>
      <w:r w:rsidR="001C3E25">
        <w:rPr>
          <w:rFonts w:hint="cs"/>
          <w:rtl/>
        </w:rPr>
        <w:t>ייחשב</w:t>
      </w:r>
      <w:r w:rsidR="001C3E25" w:rsidRPr="009967C1">
        <w:rPr>
          <w:rFonts w:hint="cs"/>
          <w:rtl/>
        </w:rPr>
        <w:t xml:space="preserve"> </w:t>
      </w:r>
      <w:r w:rsidR="0027393D" w:rsidRPr="009967C1">
        <w:rPr>
          <w:rFonts w:hint="cs"/>
          <w:rtl/>
        </w:rPr>
        <w:t>כעסקה מלאכותית.</w:t>
      </w:r>
    </w:p>
    <w:p w14:paraId="5299CB2C" w14:textId="24D5F3DA" w:rsidR="0027393D" w:rsidRDefault="001C3E25" w:rsidP="00B1409D">
      <w:pPr>
        <w:pStyle w:val="Hesber"/>
        <w:rPr>
          <w:rtl/>
        </w:rPr>
      </w:pPr>
      <w:r>
        <w:rPr>
          <w:rFonts w:hint="cs"/>
          <w:rtl/>
        </w:rPr>
        <w:t xml:space="preserve">הצעות </w:t>
      </w:r>
      <w:r w:rsidR="0027393D" w:rsidRPr="009967C1">
        <w:rPr>
          <w:rFonts w:hint="cs"/>
          <w:rtl/>
        </w:rPr>
        <w:t xml:space="preserve">חוק </w:t>
      </w:r>
      <w:r>
        <w:rPr>
          <w:rFonts w:hint="cs"/>
          <w:rtl/>
        </w:rPr>
        <w:t xml:space="preserve">דומות </w:t>
      </w:r>
      <w:r w:rsidR="007463BE">
        <w:rPr>
          <w:rFonts w:hint="cs"/>
          <w:rtl/>
        </w:rPr>
        <w:t>בעיקר</w:t>
      </w:r>
      <w:r>
        <w:rPr>
          <w:rFonts w:hint="cs"/>
          <w:rtl/>
        </w:rPr>
        <w:t>ן</w:t>
      </w:r>
      <w:r w:rsidR="0027393D" w:rsidRPr="009967C1">
        <w:rPr>
          <w:rFonts w:hint="cs"/>
          <w:rtl/>
        </w:rPr>
        <w:t xml:space="preserve"> </w:t>
      </w:r>
      <w:r w:rsidRPr="009967C1">
        <w:rPr>
          <w:rFonts w:hint="cs"/>
          <w:rtl/>
        </w:rPr>
        <w:t>הונח</w:t>
      </w:r>
      <w:r>
        <w:rPr>
          <w:rFonts w:hint="cs"/>
          <w:rtl/>
        </w:rPr>
        <w:t>ו</w:t>
      </w:r>
      <w:r w:rsidRPr="009967C1">
        <w:rPr>
          <w:rFonts w:hint="cs"/>
          <w:rtl/>
        </w:rPr>
        <w:t xml:space="preserve"> </w:t>
      </w:r>
      <w:r w:rsidR="0027393D" w:rsidRPr="009967C1">
        <w:rPr>
          <w:rFonts w:hint="cs"/>
          <w:rtl/>
        </w:rPr>
        <w:t xml:space="preserve">על שולחן הכנסת </w:t>
      </w:r>
      <w:r w:rsidR="007463BE" w:rsidRPr="007463BE">
        <w:rPr>
          <w:rtl/>
        </w:rPr>
        <w:t>התשע-עשרה על ידי חברת הכנסת</w:t>
      </w:r>
      <w:r>
        <w:rPr>
          <w:rFonts w:hint="cs"/>
          <w:rtl/>
        </w:rPr>
        <w:t xml:space="preserve"> רוחמה אברהם-בלילא וחברת הכנסת ליה שמטוב (פ/3054/18), ועל </w:t>
      </w:r>
      <w:r w:rsidRPr="009967C1">
        <w:rPr>
          <w:rFonts w:hint="cs"/>
          <w:rtl/>
        </w:rPr>
        <w:t>שולחן הכנסת</w:t>
      </w:r>
      <w:r>
        <w:rPr>
          <w:rFonts w:hint="cs"/>
          <w:rtl/>
        </w:rPr>
        <w:t xml:space="preserve"> </w:t>
      </w:r>
      <w:r w:rsidRPr="001C3E25">
        <w:rPr>
          <w:rtl/>
        </w:rPr>
        <w:t>העשרים על ידי</w:t>
      </w:r>
      <w:r>
        <w:rPr>
          <w:rFonts w:hint="cs"/>
          <w:rtl/>
        </w:rPr>
        <w:t xml:space="preserve"> חברת הכנסת חנין זועבי</w:t>
      </w:r>
      <w:r w:rsidR="0006405A">
        <w:rPr>
          <w:rFonts w:hint="cs"/>
          <w:rtl/>
        </w:rPr>
        <w:t xml:space="preserve"> וקבוצת חברי הכנסת</w:t>
      </w:r>
      <w:r>
        <w:rPr>
          <w:rFonts w:hint="cs"/>
          <w:rtl/>
        </w:rPr>
        <w:t xml:space="preserve"> (פ/1828/20).</w:t>
      </w:r>
      <w:r w:rsidR="007463BE" w:rsidRPr="007463BE">
        <w:rPr>
          <w:rtl/>
        </w:rPr>
        <w:t xml:space="preserve"> </w:t>
      </w:r>
    </w:p>
    <w:p w14:paraId="14A870E8" w14:textId="7736B02E" w:rsidR="0021698D" w:rsidRDefault="0021698D" w:rsidP="00B1409D">
      <w:pPr>
        <w:pStyle w:val="Hesber"/>
        <w:rPr>
          <w:rtl/>
        </w:rPr>
      </w:pPr>
    </w:p>
    <w:p w14:paraId="497DB933" w14:textId="77777777" w:rsidR="0021698D" w:rsidRDefault="0021698D" w:rsidP="00B1409D">
      <w:pPr>
        <w:pStyle w:val="Hesber"/>
        <w:rPr>
          <w:rtl/>
        </w:rPr>
      </w:pPr>
    </w:p>
    <w:p w14:paraId="6566CB23" w14:textId="77777777" w:rsidR="0021698D" w:rsidRDefault="0021698D" w:rsidP="00B1409D">
      <w:pPr>
        <w:pStyle w:val="Hesber"/>
        <w:rPr>
          <w:rtl/>
        </w:rPr>
      </w:pPr>
    </w:p>
    <w:p w14:paraId="762E141D" w14:textId="77777777" w:rsidR="0021698D" w:rsidRPr="00B846E1" w:rsidRDefault="0021698D" w:rsidP="00B1409D">
      <w:pPr>
        <w:pStyle w:val="Hesber"/>
        <w:rPr>
          <w:rtl/>
        </w:rPr>
      </w:pPr>
    </w:p>
    <w:p w14:paraId="6B3C6A15" w14:textId="77777777" w:rsidR="0021698D" w:rsidRPr="00D73212" w:rsidRDefault="0021698D" w:rsidP="0021698D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07BE8B4A" w14:textId="77777777" w:rsidR="0021698D" w:rsidRPr="00D73212" w:rsidRDefault="0021698D" w:rsidP="0021698D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33F2397A" w14:textId="77777777" w:rsidR="0021698D" w:rsidRPr="00D73212" w:rsidRDefault="0021698D" w:rsidP="0021698D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6E93BB82" w14:textId="77777777" w:rsidR="0021698D" w:rsidRPr="00317312" w:rsidRDefault="0021698D" w:rsidP="0021698D">
      <w:pPr>
        <w:pStyle w:val="Hesber"/>
      </w:pPr>
      <w:r>
        <w:rPr>
          <w:rFonts w:hint="cs"/>
          <w:color w:val="auto"/>
          <w:rtl/>
          <w:lang w:eastAsia="en-US"/>
        </w:rPr>
        <w:t>כ"ו בתמוז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ו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1.8</w:t>
      </w:r>
      <w:r w:rsidRPr="00D73212">
        <w:rPr>
          <w:color w:val="auto"/>
          <w:rtl/>
          <w:lang w:eastAsia="en-US"/>
        </w:rPr>
        <w:t>.1</w:t>
      </w:r>
      <w:r>
        <w:rPr>
          <w:rFonts w:hint="cs"/>
          <w:color w:val="auto"/>
          <w:rtl/>
          <w:lang w:eastAsia="en-US"/>
        </w:rPr>
        <w:t>6</w:t>
      </w:r>
    </w:p>
    <w:p w14:paraId="348D614A" w14:textId="77777777" w:rsidR="0021698D" w:rsidRPr="00B15BBC" w:rsidRDefault="0021698D" w:rsidP="0021698D">
      <w:pPr>
        <w:spacing w:before="0" w:line="360" w:lineRule="auto"/>
        <w:ind w:left="340" w:firstLine="0"/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</w:pPr>
    </w:p>
    <w:p w14:paraId="7F6961CB" w14:textId="77777777" w:rsidR="00E13C27" w:rsidRDefault="00E13C27" w:rsidP="00E13C27">
      <w:pPr>
        <w:pStyle w:val="Hesber"/>
        <w:rPr>
          <w:rtl/>
        </w:rPr>
      </w:pPr>
    </w:p>
    <w:sectPr w:rsidR="00E13C27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21698D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4F287C3C" w14:textId="63A8625A" w:rsidR="004264E9" w:rsidRDefault="004264E9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דיני מדינת ישראל, נוסח חדש 6, עמ' 120.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116E"/>
    <w:rsid w:val="00015B27"/>
    <w:rsid w:val="000407AB"/>
    <w:rsid w:val="00063A3E"/>
    <w:rsid w:val="0006405A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4347C"/>
    <w:rsid w:val="00152609"/>
    <w:rsid w:val="00153E1B"/>
    <w:rsid w:val="001A0623"/>
    <w:rsid w:val="001C23B0"/>
    <w:rsid w:val="001C3E25"/>
    <w:rsid w:val="001D7AAF"/>
    <w:rsid w:val="00203A7F"/>
    <w:rsid w:val="0021633A"/>
    <w:rsid w:val="0021698D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393D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264E9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53C66"/>
    <w:rsid w:val="006818A9"/>
    <w:rsid w:val="006A2D81"/>
    <w:rsid w:val="006C1D0D"/>
    <w:rsid w:val="0070601E"/>
    <w:rsid w:val="00712C72"/>
    <w:rsid w:val="00735FE9"/>
    <w:rsid w:val="007463BE"/>
    <w:rsid w:val="00763CAA"/>
    <w:rsid w:val="00765F66"/>
    <w:rsid w:val="0078664F"/>
    <w:rsid w:val="007C3FA6"/>
    <w:rsid w:val="007C4B24"/>
    <w:rsid w:val="007D585A"/>
    <w:rsid w:val="007D5A12"/>
    <w:rsid w:val="007E59F9"/>
    <w:rsid w:val="00810BCD"/>
    <w:rsid w:val="00812C98"/>
    <w:rsid w:val="00814D92"/>
    <w:rsid w:val="008310CB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409D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9176A"/>
    <w:rsid w:val="00CF1AA2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A01E6"/>
    <w:rsid w:val="00EA3DE8"/>
    <w:rsid w:val="00EA758F"/>
    <w:rsid w:val="00EC5707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CF1BB0A6-7676-4535-A440-30784DA5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BE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7463BE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7463BE"/>
    <w:rPr>
      <w:sz w:val="36"/>
      <w:szCs w:val="52"/>
    </w:rPr>
  </w:style>
  <w:style w:type="paragraph" w:customStyle="1" w:styleId="Cover3-Haknesset">
    <w:name w:val="Cover 3-Haknesset"/>
    <w:basedOn w:val="Cover1-Reshumot"/>
    <w:rsid w:val="007463BE"/>
    <w:rPr>
      <w:b/>
      <w:bCs/>
      <w:spacing w:val="60"/>
    </w:rPr>
  </w:style>
  <w:style w:type="paragraph" w:customStyle="1" w:styleId="Cover4-Date">
    <w:name w:val="Cover 4-Date"/>
    <w:basedOn w:val="a"/>
    <w:rsid w:val="007463BE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7463BE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7463BE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7463BE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7463BE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7463BE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7463BE"/>
  </w:style>
  <w:style w:type="paragraph" w:customStyle="1" w:styleId="TableBlock">
    <w:name w:val="Table Block"/>
    <w:basedOn w:val="TableText"/>
    <w:rsid w:val="007463BE"/>
    <w:pPr>
      <w:ind w:right="0"/>
      <w:jc w:val="both"/>
    </w:pPr>
  </w:style>
  <w:style w:type="paragraph" w:customStyle="1" w:styleId="TableHead">
    <w:name w:val="Table Head"/>
    <w:basedOn w:val="TableText"/>
    <w:rsid w:val="007463BE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7463BE"/>
  </w:style>
  <w:style w:type="paragraph" w:customStyle="1" w:styleId="Hesber">
    <w:name w:val="Hesber"/>
    <w:basedOn w:val="a"/>
    <w:rsid w:val="007463BE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7463BE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7463BE"/>
    <w:rPr>
      <w:vertAlign w:val="superscript"/>
    </w:rPr>
  </w:style>
  <w:style w:type="paragraph" w:customStyle="1" w:styleId="HesberHeading">
    <w:name w:val="Hesber Heading"/>
    <w:basedOn w:val="Hesber"/>
    <w:rsid w:val="007463BE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7463BE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7463BE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7463BE"/>
    <w:rPr>
      <w:vertAlign w:val="superscript"/>
    </w:rPr>
  </w:style>
  <w:style w:type="paragraph" w:customStyle="1" w:styleId="TableBlockOutdent">
    <w:name w:val="Table BlockOutdent"/>
    <w:basedOn w:val="TableBlock"/>
    <w:rsid w:val="007463BE"/>
    <w:pPr>
      <w:ind w:left="624" w:hanging="624"/>
    </w:pPr>
  </w:style>
  <w:style w:type="paragraph" w:styleId="a7">
    <w:name w:val="header"/>
    <w:basedOn w:val="a"/>
    <w:rsid w:val="007463BE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7463BE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7463BE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7463BE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7463BE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F42CA6F-75CB-4446-9F77-45E560472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BF1E50-7165-4BFB-9354-4D4CB0B4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335</Words>
  <Characters>1680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13</cp:revision>
  <cp:lastPrinted>2016-07-27T13:17:00Z</cp:lastPrinted>
  <dcterms:created xsi:type="dcterms:W3CDTF">2015-04-20T09:58:00Z</dcterms:created>
  <dcterms:modified xsi:type="dcterms:W3CDTF">2016-07-27T13:17:00Z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2005691</vt:r8>
  </property>
</Properties>
</file>